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333.37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333.37 НК РФ</w:t>
      </w:r>
    </w:p>
    <w:p>
      <w:pPr>
        <w:spacing w:after="120"/>
        <w:ind w:firstLine="709"/>
      </w:pPr>
      <w:r>
        <w:rPr>
          <w:sz w:val="24"/>
        </w:rPr>
        <w:t xml:space="preserve">- Сторона арбитражного спора считает, что освобождена от уплаты госпошлины, и не согласна с ее взысканием в бюджет или возвратом (оставлением без движения) жалобы из-за неуплаты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333.37 (в ред. ФЗ от 08.08.2024 N 259-ФЗ) применяется к делам, возбужденным в суде соответствующей инстанции на основании заявлений и жалоб, направленных в суд после 08.09.2024.</w:t>
      </w:r>
    </w:p>
    <w:p>
      <w:pPr>
        <w:spacing w:after="120"/>
        <w:ind w:firstLine="709"/>
      </w:pPr>
      <w:r>
        <w:rPr>
          <w:sz w:val="24"/>
        </w:rPr>
        <w:t xml:space="preserve">1. От уплаты государственной пошлины по делам, рассматриваемым Верховным Судом Российской Федерации в соответствии с арбитражным процессуальным законодательством Российской Федерации, арбитражными судами, освобождаются: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прокуроры и иные органы, обращающиеся в Верховный Суд Российской Федерации, арбитражные суды в случаях, предусмотренных законом, в защиту государственных и (или) общественных интересов;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28.06.2014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арбитражными судами, в качестве истцов или ответчиков;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28.06.2014 N 198-ФЗ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истцы по искам, связанным с нарушением прав и законных интересов ребенка;</w:t>
      </w:r>
    </w:p>
    <w:p>
      <w:pPr>
        <w:spacing w:after="120"/>
        <w:ind w:firstLine="709"/>
      </w:pPr>
      <w:r>
        <w:rPr>
          <w:sz w:val="24"/>
        </w:rPr>
        <w:t xml:space="preserve">3) авторы результата интеллектуальной деятельности - по искам о предоставлении им права использования результата интеллектуальной деятельности, исключительное право на который принадлежит другому лицу (принудительная лицензия) ;</w:t>
      </w:r>
    </w:p>
    <w:p>
      <w:pPr>
        <w:spacing w:after="120"/>
        <w:ind w:firstLine="709"/>
      </w:pPr>
      <w:r>
        <w:rPr>
          <w:sz w:val="24"/>
        </w:rPr>
        <w:t xml:space="preserve">(пп. 3 введен Федеральным законом от 10.07.2012 N 100-ФЗ)</w:t>
      </w:r>
    </w:p>
    <w:p>
      <w:pPr>
        <w:spacing w:after="120"/>
        <w:ind w:firstLine="709"/>
      </w:pPr>
      <w:r>
        <w:rPr>
          <w:sz w:val="24"/>
        </w:rPr>
        <w:t xml:space="preserve">4) граждане, в отношении которых введена процедура, применяемая в деле о несостоятельности (банкротстве), - по обособленным спорам, связанным с освобождением от обязательств перед кредиторами, формированием конкурсной массы и реестра требований кредиторов, в деле об их несостоятельности (банкротстве);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5) кредиторы - по требованиям о включении в реестр требований кредиторов в деле о несостоятельности (банкротстве), если их требования подтверждены вступившими в законную силу судебными актами.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2. От уплаты государственной пошлины по делам, рассматриваемым Верховным Судом Российской Федерации в соответствии с арбитражным процессуальным законодательством Российской Федерации, арбитражными судами, с учетом положений пункта 3 настоящей статьи освобождаются: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общественные организации инвалидов, выступающие в качестве истцов и ответчиков;</w:t>
      </w:r>
    </w:p>
    <w:p>
      <w:pPr>
        <w:spacing w:after="120"/>
        <w:ind w:firstLine="709"/>
      </w:pPr>
      <w:r>
        <w:rPr>
          <w:sz w:val="24"/>
        </w:rPr>
        <w:t xml:space="preserve">2) истцы - инвалиды I и II группы.</w:t>
      </w:r>
    </w:p>
    <w:p>
      <w:pPr>
        <w:spacing w:after="120"/>
        <w:ind w:firstLine="709"/>
      </w:pPr>
      <w:r>
        <w:rPr>
          <w:sz w:val="24"/>
        </w:rPr>
        <w:t xml:space="preserve">3. При подаче в арбитражные суды исковых заявлений имущественного характера и (или) исковых заявлений, содержащих одновременно требования имущественного и неимущественного характера, плательщики, указанные в пункте 2 настоящей статьи, освобождаются от уплаты государственной пошлины в случае, если цена иска не превышает 1 000 000 рублей. В случае, если цена иска превышает 1 000 000 рублей, указанные плательщики уплачивают государственную пошлину в сумме, исчисленной в соответствии с подпунктом 1 пункта 1 статьи 333.21 настоящего Кодекса и уменьшенной на сумму государственной пошлины, подлежащей уплате при цене иска 1 000 000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333.37</dc:title>
  <dc:creator>АРБИТРАЖ! · arbi.ru</dc:creator>
  <cp:lastModifiedBy>АРБИТРАЖ!</cp:lastModifiedBy>
  <dcterms:created xsi:type="dcterms:W3CDTF">2026-10-22T20:21:41.244Z</dcterms:created>
</cp:coreProperties>
</file>