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333.43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25.4. Налог на дополнительный доход от добычи углеводородного сырья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Налогоплательщиками налога на дополнительный доход от добычи углеводородного сырья (далее в настоящей главе - налог) признаются организации, осуществляющие виды деятельности, указанные в пункте 3 настоящей статьи, и являющиеся пользователями недр на участках недр, права пользования которыми предоставлены им на основании лицензий, выданных в соответствии с законодательством Российской Федерации о недрах и предусматривающих в том числе право таких организаций на разведку и добычу нефти или на разработку технологий геологического изучения, разведки и добычи трудноизвлекаемых полезных ископаемых на участках недр, указанных в пункте 1 статьи 333.45 настоящего Кодекса. При этом по состоянию на 1 января года налогового периода на таких участках недр имеются извлекаемые запасы нефти, подтвержденные данными государственного баланса запасов полезных ископаемых на 1 января года, предшествующего году налогового периода, либо сведениями из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в году, предшествующем году налогового периода.</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к углеводородному сырью относятся следующие виды добытых полезных ископаемых:</w:t>
      </w:r>
    </w:p>
    <w:p>
      <w:pPr>
        <w:spacing w:after="120"/>
        <w:ind w:firstLine="709"/>
      </w:pPr>
      <w:r>
        <w:rPr>
          <w:sz w:val="24"/>
        </w:rPr>
        <w:t xml:space="preserve">1) нефть обезвоженная, обессоленная и стабилизированная (далее в настоящей главе - нефть);</w:t>
      </w:r>
    </w:p>
    <w:p>
      <w:pPr>
        <w:spacing w:after="120"/>
        <w:ind w:firstLine="709"/>
      </w:pPr>
      <w:r>
        <w:rPr>
          <w:sz w:val="24"/>
        </w:rPr>
        <w:t xml:space="preserve">2) газовый конденсат, прошедший технологию промысловой подготовки в соответствии с техническим проектом разработки месторождения до направления его на переработку (далее в настоящей главе - газовый конденсат);</w:t>
      </w:r>
    </w:p>
    <w:p>
      <w:pPr>
        <w:spacing w:after="120"/>
        <w:ind w:firstLine="709"/>
      </w:pPr>
      <w:r>
        <w:rPr>
          <w:sz w:val="24"/>
        </w:rPr>
        <w:t xml:space="preserve">3) 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в настоящей главе - попутный газ);</w:t>
      </w:r>
    </w:p>
    <w:p>
      <w:pPr>
        <w:spacing w:after="120"/>
        <w:ind w:firstLine="709"/>
      </w:pPr>
      <w:r>
        <w:rPr>
          <w:sz w:val="24"/>
        </w:rPr>
        <w:t xml:space="preserve">4) газ горючий природный, за исключением попутного газа (далее в настоящей главе - газ).</w:t>
      </w:r>
    </w:p>
    <w:p>
      <w:pPr>
        <w:spacing w:after="120"/>
        <w:ind w:firstLine="709"/>
      </w:pPr>
      <w:r>
        <w:rPr>
          <w:sz w:val="24"/>
        </w:rPr>
        <w:t xml:space="preserve">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w:t>
      </w:r>
    </w:p>
    <w:p>
      <w:pPr>
        <w:spacing w:after="120"/>
        <w:ind w:firstLine="709"/>
      </w:pPr>
      <w:r>
        <w:rPr>
          <w:sz w:val="24"/>
        </w:rPr>
        <w:t xml:space="preserve">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деятельность по транспортировке углеводородного сырья (любой смеси в газообразном и (или) жидком состоянии, содержащей углеводородное сырье), добытого на участке недр, от мест добычи до мест подготовки углеводородного сырья, мест сдачи третьим лицам для транспортировки и (или) для подготовки углеводородного сырья, мест реализации углеводородного сырья третьим лицам без сдачи третьим лицам для транспортировки;</w:t>
      </w:r>
    </w:p>
    <w:p>
      <w:pPr>
        <w:spacing w:after="120"/>
        <w:ind w:firstLine="709"/>
      </w:pPr>
      <w:r>
        <w:rPr>
          <w:sz w:val="24"/>
        </w:rPr>
        <w:t xml:space="preserve">3) деятельность по подготовке углеводородного сырья - разделение любой смеси в газообразном и (или) жидком состоянии, содержащей углеводородное сырье, на производные смеси, содержащие отдельные виды углеводородного сырья; доведение углеводородного сырья (в том числе на мощностях третьих лиц) до качества, при котором такое сырье признается товаром в отношении налогоплательщика;</w:t>
      </w:r>
    </w:p>
    <w:p>
      <w:pPr>
        <w:spacing w:after="120"/>
        <w:ind w:firstLine="709"/>
      </w:pPr>
      <w:r>
        <w:rPr>
          <w:sz w:val="24"/>
        </w:rPr>
        <w:t xml:space="preserve">4) деятельность по хранению углеводородного сырья (любой смеси в газообразном и (или) жидком состоянии, содержащей углеводородное сырье), добытого на участке недр;</w:t>
      </w:r>
    </w:p>
    <w:p>
      <w:pPr>
        <w:spacing w:after="120"/>
        <w:ind w:firstLine="709"/>
      </w:pPr>
      <w:r>
        <w:rPr>
          <w:sz w:val="24"/>
        </w:rPr>
        <w:t xml:space="preserve">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w:t>
      </w:r>
    </w:p>
    <w:p>
      <w:pPr>
        <w:spacing w:after="120"/>
        <w:ind w:firstLine="709"/>
      </w:pPr>
      <w:r>
        <w:rPr>
          <w:sz w:val="24"/>
        </w:rPr>
        <w:t xml:space="preserve">6) деятельность по сдаче в аренду лицу, оказывающему услуги (выполняющему работы) налогоплательщику, связанные с осуществлением одного или нескольких видов деятельности, указанных в подпунктах 1 - 5 настоящего пункта, имущества, используемого при осуществлении указанных видов деятельности;</w:t>
      </w:r>
    </w:p>
    <w:p>
      <w:pPr>
        <w:spacing w:after="120"/>
        <w:ind w:firstLine="709"/>
      </w:pPr>
      <w:r>
        <w:rPr>
          <w:sz w:val="24"/>
        </w:rPr>
        <w:t xml:space="preserve">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и по доведению указанных объектов основных средств до состояния, в котором они пригодны для использования.</w:t>
      </w:r>
    </w:p>
    <w:p>
      <w:pPr>
        <w:spacing w:after="120"/>
        <w:ind w:firstLine="709"/>
      </w:pPr>
      <w:r>
        <w:rPr>
          <w:sz w:val="24"/>
        </w:rPr>
        <w:t xml:space="preserve">(пп. 7 введен Федеральным законом от 18.03.2020 N 65-ФЗ)</w:t>
      </w:r>
    </w:p>
    <w:p>
      <w:pPr>
        <w:spacing w:after="120"/>
        <w:ind w:firstLine="709"/>
      </w:pPr>
      <w:r>
        <w:rPr>
          <w:sz w:val="24"/>
        </w:rPr>
        <w:t xml:space="preserve">4. Виды деятельности, указанные в подпунктах 2 - 7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главы:</w:t>
      </w:r>
    </w:p>
    <w:p>
      <w:pPr>
        <w:spacing w:after="120"/>
        <w:ind w:firstLine="709"/>
      </w:pPr>
      <w:r>
        <w:rPr>
          <w:sz w:val="24"/>
        </w:rPr>
        <w:t xml:space="preserve">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соответствии с действующим порядком округления;</w:t>
      </w:r>
    </w:p>
    <w:p>
      <w:pPr>
        <w:spacing w:after="120"/>
        <w:ind w:firstLine="709"/>
      </w:pPr>
      <w:r>
        <w:rPr>
          <w:sz w:val="24"/>
        </w:rPr>
        <w:t xml:space="preserve">2) начальные извлекаемые запасы нефти участка недр определяются как сумма запасов нефти всех категорий и накопленной добычи (включая потери при добыче) с начала разработки конкретного участка недр в соответствии с данными государственного баланса запасов полезных ископаемых на соответствующую дату;</w:t>
      </w:r>
    </w:p>
    <w:p>
      <w:pPr>
        <w:spacing w:after="120"/>
        <w:ind w:firstLine="709"/>
      </w:pPr>
      <w:r>
        <w:rPr>
          <w:sz w:val="24"/>
        </w:rPr>
        <w:t xml:space="preserve">3) сумма накопленной добычи нефти и начальных извлекаемых запасов нефти определяется в тысячах метрических тонн;</w:t>
      </w:r>
    </w:p>
    <w:p>
      <w:pPr>
        <w:spacing w:after="120"/>
        <w:ind w:firstLine="709"/>
      </w:pPr>
      <w:r>
        <w:rPr>
          <w:sz w:val="24"/>
        </w:rPr>
        <w:t xml:space="preserve">4) понятие "добытое полезное ископаемое" используется в значении, указанном в главе 26 настоящего Кодекса;</w:t>
      </w:r>
    </w:p>
    <w:p>
      <w:pPr>
        <w:spacing w:after="120"/>
        <w:ind w:firstLine="709"/>
      </w:pPr>
      <w:r>
        <w:rPr>
          <w:sz w:val="24"/>
        </w:rPr>
        <w:t xml:space="preserve">5) понятие "участок недр" используется в значении, указанном в главе 26 настоящего Кодекса;</w:t>
      </w:r>
    </w:p>
    <w:p>
      <w:pPr>
        <w:spacing w:after="120"/>
        <w:ind w:firstLine="709"/>
      </w:pPr>
      <w:r>
        <w:rPr>
          <w:sz w:val="24"/>
        </w:rPr>
        <w:t xml:space="preserve">6) количество добытого на участке недр углеводородного сырья соответствующего вида определяется в порядке, установленном статьей 339 настоящего Кодекса, за вычетом нормативных потерь полезных ископаемых, облагаемых налогом на добычу полезных ископаемых по налоговой ставке 0 процентов (0 рублей) на основании пункта 1 статьи 342 настоящего Кодекса;</w:t>
      </w:r>
    </w:p>
    <w:p>
      <w:pPr>
        <w:spacing w:after="120"/>
        <w:ind w:firstLine="709"/>
      </w:pPr>
      <w:r>
        <w:rPr>
          <w:sz w:val="24"/>
        </w:rPr>
        <w:t xml:space="preserve">7) количество газа и попутного газа, добытых на участке недр и закачанных в пласт для поддержания пластового давления при добыче, а также попутного газа, закачанного в пласт для хранения на основании соответствующей лицензии, выданной в соответствии с законодательством Российской Федерации о недрах, определяется по данным учета налогоплательщика.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333.43</dc:title>
  <dc:creator>АРБИТРАЖ! · arbi.ru</dc:creator>
  <cp:lastModifiedBy>АРБИТРАЖ!</cp:lastModifiedBy>
  <dcterms:created xsi:type="dcterms:W3CDTF">2026-10-22T20:19:52.489Z</dcterms:created>
</cp:coreProperties>
</file>