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333.47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25.4. Налог на дополнительный доход от добычи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1. Фактическими расходами по добыче углеводородного сырья на участке недр (далее в настоящей главе - фактические расходы на участке недр) признаются затраты, понесенные налогоплательщиком и связанные с деятельностью по освоению такого участка недр, при условии, что они отвечают требованиям для признания затрат в качестве произведенных расходов, уменьшающих полученные доходы при исчислении налога на прибыль организаций в соответствии с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состав фактических расходов на участке недр включаются фактические расходы (без учета налога на добавленную стоимость и акцизов, за исключением случаев, предусмотренных настоящим Кодексом) на приобретение, сооружение, изготовление, доставку амортизируемого имущества, доведение его до состояния, пригодного для использования, и фактические расходы, связанные с производством и реализацией.</w:t>
      </w:r>
    </w:p>
    <w:p>
      <w:pPr>
        <w:spacing w:after="120"/>
        <w:ind w:firstLine="709"/>
      </w:pPr>
      <w:r>
        <w:rPr>
          <w:sz w:val="24"/>
        </w:rPr>
        <w:t xml:space="preserve">3. Фактические расходы на приобретение, сооружение, изготовление, доставку амортизируемого имущества, доведение его до состояния, пригодного для использования, учитываются в размере фактических затрат, подлежащих включению в первоначальную стоимость такого имущества, определяемую в порядке, установленном статьей 257 настоящего Кодекса. При этом отнесение объектов имущества к амортизируемому имуществу осуществляется в соответствии со статьей 256 настоящего Кодекса. Расходы относятся к фактическим расходам на приобретение, сооружение, изготовление, доставку амортизируемого имущества, доведение его до состояния, пригодного для использования, в том числе в случае, если на момент учета таких расходов для целей налога в порядке, установленном настоящей главой , вся сумма расходов или их часть не включена в первоначальную стоимость конкретного объекта (объектов) основных средств.</w:t>
      </w:r>
    </w:p>
    <w:p>
      <w:pPr>
        <w:spacing w:after="120"/>
        <w:ind w:firstLine="709"/>
      </w:pPr>
      <w:r>
        <w:rPr>
          <w:sz w:val="24"/>
        </w:rPr>
        <w:t xml:space="preserve">4. К фактическим расходам на приобретение, сооружение, изготовление, доставку амортизируемого имущества, доведение его до состояния, пригодного для использования, в целях настоящей главы относятся также затраты по достройке, дооборудованию, реконструкции, модернизации, техническому перевооружению, частичной ликвидации соответствующих объектов, относящихся к амортизируемому имуществу. Указанные затраты учитываются в качестве расходов при условии соответствия требованиям для учета таких затрат при исчислении налога на прибыль организаций в соответствии с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Фактическими расходами, связанными с производством и реализацией, в целях настоящей главы признаются следующие виды затрат, относящихся к расходам, связанным с производством и реализацией (за исключением сумм начисленной амортизации и сумм налога, исчисленного в соответствии с настоящей главой), и к внереализационным расходам, в соответствии с главой 25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1) материальные расходы;</w:t>
      </w:r>
    </w:p>
    <w:p>
      <w:pPr>
        <w:spacing w:after="120"/>
        <w:ind w:firstLine="709"/>
      </w:pPr>
      <w:r>
        <w:rPr>
          <w:sz w:val="24"/>
        </w:rPr>
        <w:t xml:space="preserve">2) расходы на оплату труда;</w:t>
      </w:r>
    </w:p>
    <w:p>
      <w:pPr>
        <w:spacing w:after="120"/>
        <w:ind w:firstLine="709"/>
      </w:pPr>
      <w:r>
        <w:rPr>
          <w:sz w:val="24"/>
        </w:rPr>
        <w:t xml:space="preserve">3) расходы на содержание и эксплуатацию, ремонт и техническое обслуживание основных средств и иного имущества, а также на поддержание их в исправном (актуальном) состоянии;</w:t>
      </w:r>
    </w:p>
    <w:p>
      <w:pPr>
        <w:spacing w:after="120"/>
        <w:ind w:firstLine="709"/>
      </w:pPr>
      <w:r>
        <w:rPr>
          <w:sz w:val="24"/>
        </w:rPr>
        <w:t xml:space="preserve">4) расходы на освоение природных ресурсов, разовые, регулярные и иные платежи за пользование недрами, предусмотренные законодательством Российской Федерации о недрах;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расходы на научные исследования и опытно-конструкторские разработки;</w:t>
      </w:r>
    </w:p>
    <w:p>
      <w:pPr>
        <w:spacing w:after="120"/>
        <w:ind w:firstLine="709"/>
      </w:pPr>
      <w:r>
        <w:rPr>
          <w:sz w:val="24"/>
        </w:rPr>
        <w:t xml:space="preserve">6) расходы на обязательное и добровольное страхование;</w:t>
      </w:r>
    </w:p>
    <w:p>
      <w:pPr>
        <w:spacing w:after="120"/>
        <w:ind w:firstLine="709"/>
      </w:pPr>
      <w:r>
        <w:rPr>
          <w:sz w:val="24"/>
        </w:rPr>
        <w:t xml:space="preserve">7) расходы, указанные в подпунктах 1 - 3 , 5 - 8 , 10 - 12.1 , 15 , 18 , 19 , 23 - 27 , 32 , 34 , 35 , 37 , 40 , 41 , 45 , 47 - 48.2 , 48.5 пункта 1 статьи 264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8) расходы на хранение и транспортировку (доставку) добытых на участке недр нефти, газового конденсата, газа горючего природного и попутного газа, осуществляемые до коммерческого узла (коммерческих узлов) учета углеводородного сырья, на котором (которых) в соответствии с техническим проектом разработки месторождения производится передача добытого углеводородного сырья организациям, осуществляющим транспортировку (перевозку) нефти, газового конденсата, газа горючего природного и попутного газа по системе магистральных нефте- и газопроводов, железнодорожным и автомобильным транспортом, морскими, речными судами или судами смешанного (река - море) плавания, либо осуществляется переход права собственности на углеводородное сырье в случае его реализации третьим лицам без сдачи третьим лицам для транспортировки.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15.10.2020 N 342-ФЗ , от 28.06.2022 N 234-ФЗ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участков недр, в отношении которых в соответствии с техническим проектом разработки месторождения предусмотрена отгрузка добытых нефти и (или) газового конденсата через морские нефтеналивные терминалы на морские, речные суда и (или) суда смешанного (река - море) плавания, в составе расходов, предусмотренных настоящим подпунктом, учитываются расходы на хранение и транспортировку (доставку) добытых на участке недр нефти и (или) газового конденсата, осуществляемые налогоплательщиком до места перехода права собственности на углеводородное сырье к третьим лицам.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15.10.2020 N 342-ФЗ)</w:t>
      </w:r>
    </w:p>
    <w:p>
      <w:pPr>
        <w:spacing w:after="120"/>
        <w:ind w:firstLine="709"/>
      </w:pPr>
      <w:r>
        <w:rPr>
          <w:sz w:val="24"/>
        </w:rPr>
        <w:t xml:space="preserve">Для участков недр, расположенных в Красноярском крае, Иркутской области, Республике Саха (Якутия), в составе фактических расходов, предусмотренных настоящим подпунктом, учитываются осуществленные налогоплательщиком расходы на хранение и транспортировку (доставку) добытых на участке недр нефти, газового конденсата, газа горючего природного и попутного газа до места передачи добытого углеводородного сырья оператору магистральных нефтепроводов, являющемуся субъектом естественной монополии, и (или) третьим лицам для транспортировки железнодорожным транспортом, морскими, речными судами или судами смешанного (река - море) плавания;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15.10.2020 N 342-ФЗ; в ред. Федерального закона от 28.06.2022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расходы на геолого-технические мероприятия, услуги по добыче и подъему углеводородного сырья, услуги геологии и геофизики, услуги по подготовке и доведению углеводородного сырья до качества, при котором такое сырье признается товаром в отношении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10) расходы, указанные в подпункте 8 (за исключением сумм амортизации), подпунктах 9 , 12 и 17 пункта 1 и подпункте 6 пункта 2 статьи 265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11) расходы на услуги по транспортировке сырья (материалов) и других видов грузов до мест хранения и добычи, доставке до мест добычи и вахтовых поселков работников, состоящих в штате налогоплательщика и (или) в штате организации, с которой налогоплательщиком заключен договор, и (или) работающих по договорам гражданско-правового характера;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15.10.2020 N 342-ФЗ)</w:t>
      </w:r>
    </w:p>
    <w:p>
      <w:pPr>
        <w:spacing w:after="120"/>
        <w:ind w:firstLine="709"/>
      </w:pPr>
      <w:r>
        <w:rPr>
          <w:sz w:val="24"/>
        </w:rPr>
        <w:t xml:space="preserve">12) расходы на подготовку и доведение попутного газа, добытого на участке недр, до качества отбензиненного сухого газа.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28.06.2022 N 234-ФЗ)</w:t>
      </w:r>
    </w:p>
    <w:p>
      <w:pPr>
        <w:spacing w:after="120"/>
        <w:ind w:firstLine="709"/>
      </w:pPr>
      <w:r>
        <w:rPr>
          <w:sz w:val="24"/>
        </w:rPr>
        <w:t xml:space="preserve">5.1. В случае, если затраты налогоплательщика могут быть отнесены одновременно к нескольким видам затрат, указанных в подпунктах 1 - 12 пункта 5 настоящей статьи, порядок отнесения таких затрат к конкретному виду для целей применения налога устанавливается налогоплательщиком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28.06.2022 N 234-ФЗ)</w:t>
      </w:r>
    </w:p>
    <w:p>
      <w:pPr>
        <w:spacing w:after="120"/>
        <w:ind w:firstLine="709"/>
      </w:pPr>
      <w:r>
        <w:rPr>
          <w:sz w:val="24"/>
        </w:rPr>
        <w:t xml:space="preserve">6. При определении фактических расходов на участке недр не учитываются следующие виды затрат:</w:t>
      </w:r>
    </w:p>
    <w:p>
      <w:pPr>
        <w:spacing w:after="120"/>
        <w:ind w:firstLine="709"/>
      </w:pPr>
      <w:r>
        <w:rPr>
          <w:sz w:val="24"/>
        </w:rPr>
        <w:t xml:space="preserve">1) расходы на услуги по транспортировке (доставке) добытого на участке недр углеводородного сырья, осуществляемые после коммерческого узла (коммерческих узлов) учета углеводородного сырья, на котором (которых) в соответствии с техническим проектом разработки месторождения производится передача добытого углеводородного сырья организациям, осуществляющим транспортировку (перевозку) углеводородного сырья по системе магистральных нефте- и газопроводов, железнодорожным и автомобильным транспортом, морскими, речными судами или судами смешанного (река - море) плавания, либо осуществляется переход права собственности на углеводородное сырье в случае его реализации третьим лицам без сдачи третьим лицам для транспортировки, а также начисленные суммы вывозных таможенных пошлин по добытому на участке недр углеводородному сырью;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28.06.2022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сумма налога на прибыль организаций;</w:t>
      </w:r>
    </w:p>
    <w:p>
      <w:pPr>
        <w:spacing w:after="120"/>
        <w:ind w:firstLine="709"/>
      </w:pPr>
      <w:r>
        <w:rPr>
          <w:sz w:val="24"/>
        </w:rPr>
        <w:t xml:space="preserve">3) сумма налога на дополнительный доход от добычи углеводородного сырья;</w:t>
      </w:r>
    </w:p>
    <w:p>
      <w:pPr>
        <w:spacing w:after="120"/>
        <w:ind w:firstLine="709"/>
      </w:pPr>
      <w:r>
        <w:rPr>
          <w:sz w:val="24"/>
        </w:rPr>
        <w:t xml:space="preserve">4) фактические расходы на участке недр в случае, если в отношении таких расходов налогоплательщиком получена компенсация в виде безвозмездно полученного имущества, указанная в абзаце пятом подпункта 11 пункта 1 статьи 251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18.03.2020 N 65-ФЗ)</w:t>
      </w:r>
    </w:p>
    <w:p>
      <w:pPr>
        <w:spacing w:after="120"/>
        <w:ind w:firstLine="709"/>
      </w:pPr>
      <w:r>
        <w:rPr>
          <w:sz w:val="24"/>
        </w:rPr>
        <w:t xml:space="preserve">5) фактические расходы на участке недр в виде суммы налога на добычу полезных ископаемых в части величины НДПИ ДОП_ЭТАН , определяемой в соответствии с пунктом 9 статьи 343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7. Налогоплательщик обязан вести раздельный учет фактических расходов по каждому участку недр, в отношении которого определяется налоговая база.</w:t>
      </w:r>
    </w:p>
    <w:p>
      <w:pPr>
        <w:spacing w:after="120"/>
        <w:ind w:firstLine="709"/>
      </w:pPr>
      <w:r>
        <w:rPr>
          <w:sz w:val="24"/>
        </w:rPr>
        <w:t xml:space="preserve">Порядок ведения раздельного учета расходов определяется налогоплательщиком самостоятельно, устанавливается в учетной политике налогоплательщика для целей налогообложения с учетом особенностей, установленных настоящей главой . Указанный порядок не может быть изменен в течение пяти лет со дня его утверждения, за исключением случаев изменения законодательства о налогах и сборах, которые непосредственно оказывают влияние на указанный порядок. В иных случаях указанный порядок может быть изменен налогоплательщиком до истечения пяти налоговых периодов только при условии получения согласования, предусмотренного пунктом 10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8. Фактические расходы на участке недр, которые не могут быть непосредственно отнесены к конкретному участку недр или к расходам от иной деятельности налогоплательщика, учитываются отдельно по каждому участку недр в доле, определяемой налогоплательщиком в соответствии с порядком, установленным им в учетной политике для целей налогообложения. Указанный порядок не может быть изменен в течение пяти лет со дня его утверждения, за исключением случаев изменения законодательства о налогах и сборах, которые непосредственно оказывают влияние на указанный порядок. В иных случаях указанный порядок может быть изменен налогоплательщиком до истечения пяти налоговых периодов только при условии получения согласования, предусмотренного пунктом 10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9. В целях настоящей главы суммы, отраженные в составе фактических расходов на одном участке недр, не подлежат включению в состав фактических расходов на другом участке недр, а также повторному включению в состав фактических расходов на первом участке недр.</w:t>
      </w:r>
    </w:p>
    <w:p>
      <w:pPr>
        <w:spacing w:after="120"/>
        <w:ind w:firstLine="709"/>
      </w:pPr>
      <w:r>
        <w:rPr>
          <w:sz w:val="24"/>
        </w:rPr>
        <w:t xml:space="preserve">10. Налогоплательщик вправе обратиться в федеральный орган исполнительной власти, уполномоченный по контролю и надзору в области налогов и сборов, с заявлением о согласовании порядка распределения расходов, указанных в пунктах 7 и 8 настоящей статьи. Форма заявления и порядок согласования указанного порядка утверждаются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333.47</dc:title>
  <dc:creator>АРБИТРАЖ! · arbi.ru</dc:creator>
  <cp:lastModifiedBy>АРБИТРАЖ!</cp:lastModifiedBy>
  <dcterms:created xsi:type="dcterms:W3CDTF">2026-10-22T20:22:30.383Z</dcterms:created>
</cp:coreProperties>
</file>