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333.49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25.4. Налог на дополнительный доход от добычи углеводородного сырья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Расчетными расходами по добыче углеводородного сырья на участке недр (далее в настоящей статье - расчетные расходы на участке недр) признается сумма следующих видов расходов:</w:t>
      </w:r>
    </w:p>
    <w:p>
      <w:pPr>
        <w:spacing w:after="120"/>
        <w:ind w:firstLine="709"/>
      </w:pPr>
      <w:r>
        <w:rPr>
          <w:sz w:val="24"/>
        </w:rPr>
        <w:t xml:space="preserve">1) расчетная вывозная таможенная пошлина на нефть и газовый конденсат;</w:t>
      </w:r>
    </w:p>
    <w:p>
      <w:pPr>
        <w:spacing w:after="120"/>
        <w:ind w:firstLine="709"/>
      </w:pPr>
      <w:r>
        <w:rPr>
          <w:sz w:val="24"/>
        </w:rPr>
        <w:t xml:space="preserve">2) расчетные расходы на транспортировку нефти, газового конденсата.</w:t>
      </w:r>
    </w:p>
    <w:p>
      <w:pPr>
        <w:spacing w:after="120"/>
        <w:ind w:firstLine="709"/>
      </w:pPr>
      <w:r>
        <w:rPr>
          <w:sz w:val="24"/>
        </w:rPr>
        <w:t xml:space="preserve">2. Величина расчетных расходов на участке недр в виде расчетной вывозной таможенной пошлины на нефть и газовый конденсат за налоговый (отчетный) период определяется путем суммирования таких расходов за каждый месяц налогового (отчетного) периода.</w:t>
      </w:r>
    </w:p>
    <w:p>
      <w:pPr>
        <w:spacing w:after="120"/>
        <w:ind w:firstLine="709"/>
      </w:pPr>
      <w:r>
        <w:rPr>
          <w:sz w:val="24"/>
        </w:rPr>
        <w:t xml:space="preserve">Расчетная вывозная таможенная пошлина на нефть и газовый конденсат за календарный месяц (П р ) рассчитывается по следующей формуле:</w:t>
      </w:r>
    </w:p>
    <w:p>
      <w:pPr>
        <w:spacing w:after="120"/>
        <w:ind w:firstLine="709"/>
      </w:pPr>
      <w:r>
        <w:rPr>
          <w:sz w:val="24"/>
        </w:rPr>
        <w:t xml:space="preserve">П р = ЭП нефть x Р x (V нефть + V гк ),</w:t>
      </w:r>
    </w:p>
    <w:p>
      <w:pPr>
        <w:spacing w:after="120"/>
        <w:ind w:firstLine="709"/>
      </w:pPr>
      <w:r>
        <w:rPr>
          <w:sz w:val="24"/>
        </w:rPr>
        <w:t xml:space="preserve">где ЭП нефть - ставка вывозной таможенной пошлины на нефть, выраженная в долларах США за тонну, установленная в соответствующем календарном месяце в отношении нефти, добытой на участке недр, в порядке, установленном Законом Российской Федерации от 21 мая 1993 года N 5003-1 "О таможенном тарифе" (далее - Закон Российской Федерации "О таможенном тарифе");</w:t>
      </w:r>
    </w:p>
    <w:p>
      <w:pPr>
        <w:spacing w:after="120"/>
        <w:ind w:firstLine="709"/>
      </w:pPr>
      <w:r>
        <w:rPr>
          <w:sz w:val="24"/>
        </w:rPr>
        <w:t xml:space="preserve">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в соответствии с пунктом 2 статьи 333.46 настоящего Кодекса;</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V нефть и V гк - количество добытых нефти и газового конденсата на участке недр за календарный месяц.</w:t>
      </w:r>
    </w:p>
    <w:p>
      <w:pPr>
        <w:spacing w:after="120"/>
        <w:ind w:firstLine="709"/>
      </w:pPr>
      <w:r>
        <w:rPr>
          <w:sz w:val="24"/>
        </w:rPr>
        <w:t xml:space="preserve">3. Величина расчетных расходов на участке недр в виде расчетных расходов на транспортировку нефти, газового конденсата за налоговый (отчетный) период определяется путем суммирования таких расходов за каждый календарный месяц налогового (отчетного) периода.</w:t>
      </w:r>
    </w:p>
    <w:p>
      <w:pPr>
        <w:spacing w:after="120"/>
        <w:ind w:firstLine="709"/>
      </w:pPr>
      <w:r>
        <w:rPr>
          <w:sz w:val="24"/>
        </w:rPr>
        <w:t xml:space="preserve">Сумма расчетных расходов на транспортировку нефти, газового конденсата за календарный месяц (Т з ) рассчитывается по следующей формуле:</w:t>
      </w:r>
    </w:p>
    <w:p>
      <w:pPr>
        <w:spacing w:after="120"/>
        <w:ind w:firstLine="709"/>
      </w:pPr>
      <w:r>
        <w:rPr>
          <w:sz w:val="24"/>
        </w:rPr>
        <w:t xml:space="preserve">Т з = Т ингк x V нк ,</w:t>
      </w:r>
    </w:p>
    <w:p>
      <w:pPr>
        <w:spacing w:after="120"/>
        <w:ind w:firstLine="709"/>
      </w:pPr>
      <w:r>
        <w:rPr>
          <w:sz w:val="24"/>
        </w:rPr>
        <w:t xml:space="preserve">где Т ингк - индикативный тариф на транспортировку нефти, определяемый для соответствующего района, где расположены коммерческие узлы учета нефти (газового конденсата), на которых осуществляется передача добытой на участке недр нефти (газового конденсата) организациям, осуществляющим транспортировку (перевозку) нефти (газового конденсата) по системе магистральных нефтепроводов, железнодорожным и автомобильным транспортом, морскими, речными судами или судами смешанного (река - море) плавания, либо реализация нефти (газового конденсата) третьим лицам без сдачи третьим лицам для транспортировки (далее в настоящем пункте - район сдачи нефти), в порядке , установленном Правительством Российской Федерации, и публикуемый в официальных источниках информации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Индикативный тариф на транспортировку нефти устанавливается в рублях на тонну нефти;</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V нк - количество добытых нефти и газового конденсата на участке недр в календарном месяце.</w:t>
      </w:r>
    </w:p>
    <w:p>
      <w:pPr>
        <w:spacing w:after="120"/>
        <w:ind w:firstLine="709"/>
      </w:pPr>
      <w:r>
        <w:rPr>
          <w:sz w:val="24"/>
        </w:rPr>
        <w:t xml:space="preserve">При определении индикативного тарифа на транспортировку нефти учитываются, в частности, расходы на доставку (транспортировку) магистральными трубопроводами, железнодорожным, водным и другим транспортом, включая расходы на транспортировку от границы Российской Федерации до мировых рынков нефтяного сырья, расходы на выполнение заказа и диспетчеризацию поставок, на перевалку, слив, налив, погрузку, разгрузку и перегрузку, на оплату услуг в портах и транспортно-экспедиционных услуг.</w:t>
      </w:r>
    </w:p>
    <w:p>
      <w:pPr>
        <w:spacing w:after="120"/>
        <w:ind w:firstLine="709"/>
      </w:pPr>
      <w:r>
        <w:rPr>
          <w:sz w:val="24"/>
        </w:rPr>
        <w:t xml:space="preserve">В случае, если индикативный тариф на транспортировку нефти (Т ИНГК ) для соответствующего района сдачи нефти не определен, значение Т З в отношении такой нефти (газового конденсата), добытой на участке недр, принимается равным 0.</w:t>
      </w:r>
    </w:p>
    <w:p>
      <w:pPr>
        <w:spacing w:after="120"/>
        <w:ind w:firstLine="709"/>
      </w:pPr>
      <w:r>
        <w:rPr>
          <w:sz w:val="24"/>
        </w:rPr>
        <w:t xml:space="preserve">(абзац введен Федеральным законом от 15.10.2020 N 342-ФЗ)</w:t>
      </w:r>
    </w:p>
    <w:p>
      <w:pPr>
        <w:spacing w:after="120"/>
        <w:ind w:firstLine="709"/>
      </w:pPr>
      <w:r>
        <w:rPr>
          <w:sz w:val="24"/>
        </w:rPr>
        <w:t xml:space="preserve">В случае, если нефть (газовый конденсат) добыта на участке недр, в отношении которого в соответствии с техническим проектом разработки месторождения предусмотрена отгрузка добытой нефти (газового конденсата) через морские нефтеналивные терминалы на морские, речные суда и (или) суда смешанного (река - море) плавания, индикативный тариф на транспортировку нефти (Т ИНГК ) в отношении такой нефти (газового конденсата) определяется в порядке, установленном настоящим пунктом, для соответствующего района, где осуществляется переход права собственности на такую нефть (газовый конденсат) к третьим лицам.</w:t>
      </w:r>
    </w:p>
    <w:p>
      <w:pPr>
        <w:spacing w:after="120"/>
        <w:ind w:firstLine="709"/>
      </w:pPr>
      <w:r>
        <w:rPr>
          <w:sz w:val="24"/>
        </w:rPr>
        <w:t xml:space="preserve">(абзац введен Федеральным законом от 15.10.2020 N 342-ФЗ)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333.49</dc:title>
  <dc:creator>АРБИТРАЖ! · arbi.ru</dc:creator>
  <cp:lastModifiedBy>АРБИТРАЖ!</cp:lastModifiedBy>
  <dcterms:created xsi:type="dcterms:W3CDTF">2026-10-22T20:21:24.207Z</dcterms:created>
</cp:coreProperties>
</file>