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25.4. Налог на дополнительный доход от добычи углеводородного сырья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199-ФЗ)</w:t>
      </w:r>
    </w:p>
    <w:p>
      <w:pPr>
        <w:spacing w:after="120"/>
        <w:ind w:firstLine="709"/>
      </w:pPr>
      <w:r>
        <w:rPr>
          <w:sz w:val="24"/>
        </w:rPr>
        <w:t xml:space="preserve">1. Налоговым периодом признается календарный год.</w:t>
      </w:r>
    </w:p>
    <w:p>
      <w:pPr>
        <w:spacing w:after="120"/>
        <w:ind w:firstLine="709"/>
      </w:pPr>
      <w:r>
        <w:rPr>
          <w:sz w:val="24"/>
        </w:rPr>
        <w:t xml:space="preserve">2. Отчетным периодом признаются первый квартал, полугодие и девять месяцев календарного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333.53</dc:title>
  <dc:creator>АРБИТРАЖ! · arbi.ru</dc:creator>
  <cp:lastModifiedBy>АРБИТРАЖ!</cp:lastModifiedBy>
  <dcterms:created xsi:type="dcterms:W3CDTF">2026-10-22T22:03:20.071Z</dcterms:created>
</cp:coreProperties>
</file>