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333.58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25.5. Налог на игорный бизнес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28.11.2025 N 425-ФЗ)</w:t>
      </w:r>
    </w:p>
    <w:p>
      <w:pPr>
        <w:spacing w:after="120"/>
        <w:ind w:firstLine="709"/>
      </w:pPr>
      <w:r>
        <w:rPr>
          <w:sz w:val="24"/>
        </w:rPr>
        <w:t xml:space="preserve">1. Объектами налогообложения для налогоплательщиков, осуществляющих предпринимательскую деятельность по организации и проведению азартных игр в казино и залах игровых автоматов, расположенных в игорных зонах, признаются:</w:t>
      </w:r>
    </w:p>
    <w:p>
      <w:pPr>
        <w:spacing w:after="120"/>
        <w:ind w:firstLine="709"/>
      </w:pPr>
      <w:r>
        <w:rPr>
          <w:sz w:val="24"/>
        </w:rPr>
        <w:t xml:space="preserve">1) игровой стол;</w:t>
      </w:r>
    </w:p>
    <w:p>
      <w:pPr>
        <w:spacing w:after="120"/>
        <w:ind w:firstLine="709"/>
      </w:pPr>
      <w:r>
        <w:rPr>
          <w:sz w:val="24"/>
        </w:rPr>
        <w:t xml:space="preserve">2) игровой автомат.</w:t>
      </w:r>
    </w:p>
    <w:p>
      <w:pPr>
        <w:spacing w:after="120"/>
        <w:ind w:firstLine="709"/>
      </w:pPr>
      <w:r>
        <w:rPr>
          <w:sz w:val="24"/>
        </w:rPr>
        <w:t xml:space="preserve">2. Объектом налогообложения для налогоплательщиков, осуществляющих предпринимательскую деятельность по организации и проведению азартных игр в букмекерских конторах или тотализаторах, признается доход, полученный таким налогоплательщиком от осуществления соответствующего вида деятельности в части принятия ставок, интерактивных ставок, уменьшенный на величину соответствующих расходов, указанных в подпункте 48.15 пункта 1 статьи 264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Для целей настоящей главы доходы и расходы определяются отдельно по каждому виду деятельности в порядке, установленном главой 25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3. В целях настоящей главы каждый объект налогообложения, указанный в пункте 1 настоящей статьи, подлежит регистрации в налоговом органе по месту установки этого объекта налогообложения.</w:t>
      </w:r>
    </w:p>
    <w:p>
      <w:pPr>
        <w:spacing w:after="120"/>
        <w:ind w:firstLine="709"/>
      </w:pPr>
      <w:r>
        <w:rPr>
          <w:sz w:val="24"/>
        </w:rPr>
        <w:t xml:space="preserve">Регистрация проводится налоговым органом на основании заявления налогоплательщика о регистрации объектов налогообложения с выдачей свидетельства о регистрации объектов налогообложения.</w:t>
      </w:r>
    </w:p>
    <w:p>
      <w:pPr>
        <w:spacing w:after="120"/>
        <w:ind w:firstLine="709"/>
      </w:pPr>
      <w:r>
        <w:rPr>
          <w:sz w:val="24"/>
        </w:rPr>
        <w:t xml:space="preserve">Заявление о регистрации объектов налогообложения должно быть представлено в налоговый орган не позднее чем за пять дней до даты установки каждого объекта налогообложения.</w:t>
      </w:r>
    </w:p>
    <w:p>
      <w:pPr>
        <w:spacing w:after="120"/>
        <w:ind w:firstLine="709"/>
      </w:pPr>
      <w:r>
        <w:rPr>
          <w:sz w:val="24"/>
        </w:rPr>
        <w:t xml:space="preserve">4. Налогоплательщики, осуществляющие предпринимательскую деятельность по организации и проведению азартных игр в казино и залах игровых автоматов и не состоящие на учете в налоговых органах на территории того субъекта Российской Федерации, где устанавливается объект налогообложения, указанный в пункте 1 настоящей статьи, обязаны встать на учет в налоговых органах по месту установки такого объекта налогообложения не позднее чем за пять дней до даты установки каждого объекта налогообложения.</w:t>
      </w:r>
    </w:p>
    <w:p>
      <w:pPr>
        <w:spacing w:after="120"/>
        <w:ind w:firstLine="709"/>
      </w:pPr>
      <w:r>
        <w:rPr>
          <w:sz w:val="24"/>
        </w:rPr>
        <w:t xml:space="preserve">В случае установки объекта налогообложения, указанного в пункте 1 настоящей статьи, в федеральной территории "Сириус" налогоплательщики, осуществляющие предпринимательскую деятельность по организации и проведению азартных игр в казино и залах игровых автоматов и не состоящие на учете в уполномоченном федеральным органом исполнительной власти, уполномоченным по контролю и надзору в области налогов и сборов, налоговом органе по месту установки такого объекта налогообложения, обязаны встать на учет в указанном налоговом органе не позднее чем за пять дней до даты установки каждого объекта налогообложения.</w:t>
      </w:r>
    </w:p>
    <w:p>
      <w:pPr>
        <w:spacing w:after="120"/>
        <w:ind w:firstLine="709"/>
      </w:pPr>
      <w:r>
        <w:rPr>
          <w:sz w:val="24"/>
        </w:rPr>
        <w:t xml:space="preserve">5. Налогоплательщик обязан зарегистрировать уменьшение количества объектов налогообложения, указанных в пункте 1 настоящей статьи, в налоговых органах по месту их регистрации не позднее чем за пять дней до даты выбытия каждого объекта налогообложения.</w:t>
      </w:r>
    </w:p>
    <w:p>
      <w:pPr>
        <w:spacing w:after="120"/>
        <w:ind w:firstLine="709"/>
      </w:pPr>
      <w:r>
        <w:rPr>
          <w:sz w:val="24"/>
        </w:rPr>
        <w:t xml:space="preserve">6. Объект налогообложения, указанный в пункте 1 настоящей статьи, считается зарегистрированным с даты выдачи налоговым органом свидетельства о регистрации объектов налогообложения.</w:t>
      </w:r>
    </w:p>
    <w:p>
      <w:pPr>
        <w:spacing w:after="120"/>
        <w:ind w:firstLine="709"/>
      </w:pPr>
      <w:r>
        <w:rPr>
          <w:sz w:val="24"/>
        </w:rPr>
        <w:t xml:space="preserve">Объект налогообложения, указанный в пункте 1 настоящей статьи, считается выбывшим с даты внесения налоговым органом в ранее выданное свидетельство изменений, связанных с уменьшением количества объектов налогообложения.</w:t>
      </w:r>
    </w:p>
    <w:p>
      <w:pPr>
        <w:spacing w:after="120"/>
        <w:ind w:firstLine="709"/>
      </w:pPr>
      <w:r>
        <w:rPr>
          <w:sz w:val="24"/>
        </w:rPr>
        <w:t xml:space="preserve">7. Заявление о регистрации объектов налогообложения, указанных в пункте 1 настоящей статьи, заявление о регистрации уменьшения количества объектов налогообложения, указанных в пункте 1 настоящей статьи, могут быть представлены налогоплательщиком в налоговый орган лично или через его представителя, направлены в виде почтового отправления с описью вложения или переданы в электронной форме по телекоммуникационным каналам связи с применением усиленной квалифицированной электронной подписи в формате , утвержденном федеральным органом исполнительной власти, уполномоченным по контролю и надзору в области налогов и сборов.</w:t>
      </w:r>
    </w:p>
    <w:p>
      <w:pPr>
        <w:spacing w:after="120"/>
        <w:ind w:firstLine="709"/>
      </w:pPr>
      <w:r>
        <w:rPr>
          <w:sz w:val="24"/>
        </w:rPr>
        <w:t xml:space="preserve">При направлении заявлений по почте днем их представления в налоговый орган считается день отправки почтового отправления с описью вложения. При передаче заявлений по телекоммуникационным каналам связи днем их представления в налоговый орган считается день их отправки.</w:t>
      </w:r>
    </w:p>
    <w:p>
      <w:pPr>
        <w:spacing w:after="120"/>
        <w:ind w:firstLine="709"/>
      </w:pPr>
      <w:r>
        <w:rPr>
          <w:sz w:val="24"/>
        </w:rPr>
        <w:t xml:space="preserve">8. Налоговые органы в течение пяти дней с даты получения от налогоплательщика заявления о регистрации объектов налогообложения (об уменьшении количества объектов налогообложения), указанных в пункте 1 настоящей статьи, при условии его надлежащего оформления выдают свидетельство о регистрации объектов налогообложения или вносят изменения, связанные с уменьшением количества объектов налогообложения, в ранее выданное свидетельство.</w:t>
      </w:r>
    </w:p>
    <w:p>
      <w:pPr>
        <w:spacing w:after="120"/>
        <w:ind w:firstLine="709"/>
      </w:pPr>
      <w:r>
        <w:rPr>
          <w:sz w:val="24"/>
        </w:rPr>
        <w:t xml:space="preserve">9. Формы документов, указанных в настоящей статье, утверждаются федеральным органом исполнительной власти, уполномоченным по контролю и надзору в области налогов и сборов.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333.58</dc:title>
  <dc:creator>АРБИТРАЖ! · arbi.ru</dc:creator>
  <cp:lastModifiedBy>АРБИТРАЖ!</cp:lastModifiedBy>
  <dcterms:created xsi:type="dcterms:W3CDTF">2026-10-22T20:24:22.522Z</dcterms:created>
</cp:coreProperties>
</file>