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340.1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рассчитанной в соответствии со статьей 340 настоящего Кодекса, с учетом положений настоящей статьи.</w:t>
      </w:r>
    </w:p>
    <w:p>
      <w:pPr>
        <w:spacing w:after="120"/>
        <w:ind w:firstLine="709"/>
      </w:pPr>
      <w:r>
        <w:rPr>
          <w:sz w:val="24"/>
        </w:rPr>
        <w:t xml:space="preserve">Если стоимость единицы добытого полезного ископаемого, указанная в настоящем пункте, определяемая в соответствии со статьей 340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pPr>
        <w:spacing w:after="120"/>
        <w:ind w:firstLine="709"/>
      </w:pPr>
      <w:r>
        <w:rPr>
          <w:sz w:val="24"/>
        </w:rPr>
        <w:t xml:space="preserve">2. 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pPr>
        <w:spacing w:after="120"/>
        <w:ind w:firstLine="709"/>
      </w:pPr>
      <w:r>
        <w:rPr>
          <w:sz w:val="24"/>
        </w:rPr>
        <w:t xml:space="preserve">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pPr>
        <w:spacing w:after="120"/>
        <w:ind w:firstLine="709"/>
      </w:pPr>
      <w:r>
        <w:rPr>
          <w:sz w:val="24"/>
        </w:rPr>
        <w:t xml:space="preserve">3. Правительство Российской Федерации устанавливает порядок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w:t>
      </w:r>
    </w:p>
    <w:p>
      <w:pPr>
        <w:spacing w:after="120"/>
        <w:ind w:firstLine="709"/>
      </w:pPr>
      <w:r>
        <w:rPr>
          <w:sz w:val="24"/>
        </w:rPr>
        <w:t xml:space="preserve">Указанные в настоящей статье средние за истекший налоговый период цены ежемесячно в срок не позднее 15-го числа следующего месяца доводятся через официальные источники информации в порядке ,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порядке , установленном Правительством Российской Федерации в соответствии с абзацем первым настоящего пункта.</w:t>
      </w:r>
    </w:p>
    <w:p>
      <w:pPr>
        <w:spacing w:after="120"/>
        <w:ind w:firstLine="709"/>
      </w:pPr>
      <w:r>
        <w:rPr>
          <w:sz w:val="24"/>
        </w:rPr>
        <w:t xml:space="preserve">4. 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spacing w:after="120"/>
        <w:ind w:firstLine="709"/>
      </w:pPr>
      <w:r>
        <w:rPr>
          <w:sz w:val="24"/>
        </w:rPr>
        <w:t xml:space="preserve">5. Налогоплательщик при добыче углеводородного сырья на новом морском месторождении углеводородного сырья вправе не применять положения пункта 1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статьей 339 настоящего Кодекса, и минимальной предельной стоимости единицы добытого полезного ископаемого, определяемой в соответствии с настоящей статьей.</w:t>
      </w:r>
    </w:p>
    <w:p>
      <w:pPr>
        <w:spacing w:after="120"/>
        <w:ind w:firstLine="709"/>
      </w:pPr>
      <w:r>
        <w:rPr>
          <w:sz w:val="24"/>
        </w:rPr>
        <w:t xml:space="preserve">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pPr>
        <w:spacing w:after="120"/>
        <w:ind w:firstLine="709"/>
      </w:pPr>
      <w:r>
        <w:rPr>
          <w:sz w:val="24"/>
        </w:rPr>
        <w:t xml:space="preserve">6. 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340.1</dc:title>
  <dc:creator>АРБИТРАЖ! · arbi.ru</dc:creator>
  <cp:lastModifiedBy>АРБИТРАЖ!</cp:lastModifiedBy>
  <dcterms:created xsi:type="dcterms:W3CDTF">2026-10-22T08:59:12.300Z</dcterms:created>
</cp:coreProperties>
</file>