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342.7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02.08.2019 N 284-ФЗ)</w:t>
      </w:r>
    </w:p>
    <w:p>
      <w:pPr>
        <w:spacing w:after="120"/>
        <w:ind w:firstLine="709"/>
      </w:pPr>
      <w:r>
        <w:rPr>
          <w:sz w:val="24"/>
        </w:rPr>
        <w:t xml:space="preserve">1. При соблюдении условий, установленных настоящей статьей, коэффициент, характеризующий особенности добычи редких металлов (К рм ), принимается равным:</w:t>
      </w:r>
    </w:p>
    <w:p>
      <w:pPr>
        <w:spacing w:after="120"/>
        <w:ind w:firstLine="709"/>
      </w:pPr>
      <w:r>
        <w:rPr>
          <w:sz w:val="24"/>
        </w:rPr>
        <w:t xml:space="preserve">1) 0,1 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подпункте,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spacing w:after="120"/>
        <w:ind w:firstLine="709"/>
      </w:pPr>
      <w:r>
        <w:rPr>
          <w:sz w:val="24"/>
        </w:rPr>
        <w:t xml:space="preserve">2) 1 при добыче руд редких металлов и редких металлов, не указанных в подпункте 1 настоящего пункта.</w:t>
      </w:r>
    </w:p>
    <w:p>
      <w:pPr>
        <w:spacing w:after="120"/>
        <w:ind w:firstLine="709"/>
      </w:pPr>
      <w:r>
        <w:rPr>
          <w:sz w:val="24"/>
        </w:rPr>
        <w:t xml:space="preserve">2. Коэффициент К рм применяется до истечения 120 налоговых периодов начиная с налогового периода, в котором впервые появились основания для определения налоговой базы по налогу на добычу полезных ископаемых при добыче руд редких металлов, указанных в подпункте 1 пункта 1 настоящей статьи, образующих собственные месторождения, редких металлов, указанных в подпункте 1 пункта 1 настоящей статьи,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spacing w:after="120"/>
        <w:ind w:firstLine="709"/>
      </w:pPr>
      <w:r>
        <w:rPr>
          <w:sz w:val="24"/>
        </w:rPr>
        <w:t xml:space="preserve">По истечении указанного в настоящем пункте срока значение коэффициента К рм принимается равным 1.</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342.7</dc:title>
  <dc:creator>АРБИТРАЖ! · arbi.ru</dc:creator>
  <cp:lastModifiedBy>АРБИТРАЖ!</cp:lastModifiedBy>
  <dcterms:created xsi:type="dcterms:W3CDTF">2026-10-22T20:22:39.405Z</dcterms:created>
</cp:coreProperties>
</file>