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настоящей статьей, коэффициент К МКР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МКР = (С М x Ц М x (1 - П) + С Н x Ц Н x (1 - П) + С ПЛ x Ц ПЛ x (1 - П) + С П x Ц П x (1 - П) + С З x Ц З x (1 - П) + С КБ x Ц КБ x (1 - П)) x 0,06 x Р,</w:t>
      </w:r>
    </w:p>
    <w:p>
      <w:pPr>
        <w:spacing w:after="120"/>
        <w:ind w:firstLine="709"/>
      </w:pPr>
      <w:r>
        <w:rPr>
          <w:sz w:val="24"/>
        </w:rPr>
        <w:t xml:space="preserve">где С М , С Н , С ПЛ , С П , С З , С КБ - содержание (в долях) соответственно меди, никеля, палладия, металлов платиновой группы (за исключением палладия), золота, кобальта в 1 тонне многокомпонентной комплексной руды, добываемой на участке недр, определяемое налогоплательщиком самостоятельно в соответствии с данными государственного баланса запасов полезных ископаемых, утвержденного в году, предшествующем году налогового периода, как частное от деления величины изменения запасов каждого из указанных в настоящем абзаце полезных ископаемых всех категорий в результате его добычи на участке недр (в тоннах) на соответствующий совокупный объем добытой на участке недр руды (в тоннах). Показатели С М , С Н , С ПЛ , С П , С З , С КБ округляются до восьмого знака после запятой в соответствии с действующим порядком округления;</w:t>
      </w:r>
    </w:p>
    <w:p>
      <w:pPr>
        <w:spacing w:after="120"/>
        <w:ind w:firstLine="709"/>
      </w:pPr>
      <w:r>
        <w:rPr>
          <w:sz w:val="24"/>
        </w:rPr>
        <w:t xml:space="preserve">Ц М , Ц Н , Ц ПЛ , Ц П , Ц З , Ц КБ - средние за налоговый период цены на мировых рынках соответственно меди, никеля, палладия, платины, золота, кобальта, выраженные в долларах США за 1 тонну. В случае, если мировая цена палладия, платины или золота в соответствии с правилами биржи определяется на единицу измерения веса, равную тройской унции, она подлежит пересчету в целях приведения к цене за 1 тонну путем умножения на 32 150,75. Средние за налоговый период цены на мировых рынках меди, никеля, палладия, платины, золота, кобальта определяются в порядке , установленном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рекламы. Значения показателей Ц М , Ц Н , Ц ПЛ , Ц П , Ц З , Ц КБ округляются до первого знака после запятой в соответствии с действующим порядком округления. Показатели Ц М , Ц Н , Ц ПЛ , Ц П , Ц З , Ц КБ рассчитываются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и подлежат размещению на официальном сайте указанного федерального органа исполнительной власти в сети "Интернет" до 10-го числа календарного месяца, следующего за налоговым периодом. В случае, если показатели Ц М , и (или) Ц Н , и (или) Ц ПЛ , и (или) Ц П , и (или) Ц З , и (или) Ц КБ не размещены (своевременно не размещены) на официальном сайте федерального органа исполнительной власти, осуществляющего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указанные показатели рассчитываются налогоплательщиком самостоятельно в порядке, установленном указанным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П - потери при извлечении из многокомпонентной комплексной руды меди, никеля, палладия, платины, золота, кобальта в процессе дальнейшей переработки (обогащения, технологического передела) добытого полезного ископаемого. Значение показателя П принимается равным 0,15;</w:t>
      </w:r>
    </w:p>
    <w:p>
      <w:pPr>
        <w:spacing w:after="120"/>
        <w:ind w:firstLine="709"/>
      </w:pPr>
      <w:r>
        <w:rPr>
          <w:sz w:val="24"/>
        </w:rPr>
        <w:t xml:space="preserve">Р - среднее значение за налоговый период курса доллара США к рублю Российской Федерации, устанавливаемого Центральным банком Российской Федерации, определяемое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 Федерации, за все дни в календарном месяце.</w:t>
      </w:r>
    </w:p>
    <w:p>
      <w:pPr>
        <w:spacing w:after="120"/>
        <w:ind w:firstLine="709"/>
      </w:pPr>
      <w:r>
        <w:rPr>
          <w:sz w:val="24"/>
        </w:rPr>
        <w:t xml:space="preserve">Коэффициент К МКР , рассчитанный в порядке, определенном настоящей статьей, округляется до первого знака после запятой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пунктами 2.1 , 3 и 3.1 настоящей статьи и если коэффициент К МКР , рассчитанный в соответствии с пунктом 1 настоящей статьи, принимает значение меньшее, чем 2 555, значение коэффициента К МКР принимается равным 2 555.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Положение пункта 2 настоящей статьи не применяется в отношении многокомпонентной комплексной руды, содержащей медь, и (или) никель, и (или) металлы платиновой группы и добытой на участках недр, расположенных полностью или частично на территории Красноярского края (за исключением участков недр, указанных в пунктах 3 и 3.1 настоящей статьи, пункте 2 статьи 342.8 настоящего Кодекса), при одновременном выполнении следующих требований:</w:t>
      </w:r>
    </w:p>
    <w:p>
      <w:pPr>
        <w:spacing w:after="120"/>
        <w:ind w:firstLine="709"/>
      </w:pPr>
      <w:r>
        <w:rPr>
          <w:sz w:val="24"/>
        </w:rPr>
        <w:t xml:space="preserve">1) в добываемой на участках недр, указанных в настоящем пункте, многокомпонентной комплексной руде, содержащей медь, и (или) никель, и (или) металлы платиновой группы, в соответствии с данными государственного баланса запасов полезных ископаемых по состоянию на 1 января года, предшествующего году налогового периода, содержание меди составляет не более 0,5 процента, никеля не более 0,35 процента;</w:t>
      </w:r>
    </w:p>
    <w:p>
      <w:pPr>
        <w:spacing w:after="120"/>
        <w:ind w:firstLine="709"/>
      </w:pPr>
      <w:r>
        <w:rPr>
          <w:sz w:val="24"/>
        </w:rPr>
        <w:t xml:space="preserve">2) степень выработанности запасов участков недр, указанных в настоящем пункте, по состоянию на 1 января 2024 года составляет менее 1 процента либо запасы меди, и (или) никеля, и (или) металлов платиновой группы участков недр, указанных в настоящем пункте, по которым такие запасы отсутствуют в государственном балансе запасов полезных ископаемых на 1 января 2024 года, впервые поставлены на государственный баланс запасов полезных ископаемых после указанной даты в порядке, предусмотренном Законом Российской Федерации от 21 февраля 1992 года N 2395-I "О недрах";</w:t>
      </w:r>
    </w:p>
    <w:p>
      <w:pPr>
        <w:spacing w:after="120"/>
        <w:ind w:firstLine="709"/>
      </w:pPr>
      <w:r>
        <w:rPr>
          <w:sz w:val="24"/>
        </w:rPr>
        <w:t xml:space="preserve">3) налогоплательщик, осуществляющий добычу многокомпонентной комплексной руды, содержащей медь, и (или) никель, и (или) металлы платиновой группы, на участках недр, указанных в настоящем пункте, не является и ранее не являлся резидентом особой экономической зоны любого типа, резидентом территории опережающего развития, резидентом Арктической зоны Российской Федерации, участником регионального инвестиционного проекта, стороной соглашения о защите и поощрении капиталовложений, участником специального инвестиционного контракта, стороной инвестиционного соглашения о добыче металлов платиновой группы на участках недр, указанных в пункте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12.07.2024 N 176-ФЗ (ред. 29.10.2024))</w:t>
      </w:r>
    </w:p>
    <w:p>
      <w:pPr>
        <w:spacing w:after="120"/>
        <w:ind w:firstLine="709"/>
      </w:pPr>
      <w:r>
        <w:rPr>
          <w:sz w:val="24"/>
        </w:rPr>
        <w:t xml:space="preserve">3. Коэффициент К МКР принимается равным 730 в течение сроков, установленных настоящим пунктом, при добыче многокомпонентных комплексных руд, содержащих медь, и (или) никель, и (или) металлы платиновой группы, на участках недр, расположенных полностью или частично в Красноярском крае, степень выработанности запасов которых по состоянию на 1 января 2021 года составляет менее 1 процента, и при условии, что деятельность по добыче указанных полезных ископаемых на таких участках недр является частью нового инвестиционного проекта, в отношении которого налогоплательщиком заключено и действует соглашение о защите и поощрении капиталовложений либо исполнено такое соглашение.</w:t>
      </w:r>
    </w:p>
    <w:p>
      <w:pPr>
        <w:spacing w:after="120"/>
        <w:ind w:firstLine="709"/>
      </w:pPr>
      <w:r>
        <w:rPr>
          <w:sz w:val="24"/>
        </w:rPr>
        <w:t xml:space="preserve">Коэффициент К МКР принимается равным 730 по основаниям, указанным в настоящем пункте, до истечения пятнадцати следующих подряд календарных лет, начинающихся с года начала промышленной добычи полезных ископаемых на участке недр, или до истечения срока действия соглашения о защите и поощрении капиталовложений в зависимости от того, какой срок истекает позднее.</w:t>
      </w:r>
    </w:p>
    <w:p>
      <w:pPr>
        <w:spacing w:after="120"/>
        <w:ind w:firstLine="709"/>
      </w:pPr>
      <w:r>
        <w:rPr>
          <w:sz w:val="24"/>
        </w:rPr>
        <w:t xml:space="preserve">3.1. Коэффициент К МКР принимается равным 0 в течение сроков, установленных настоящим пунктом, при добыче многокомпонентных комплексных руд, содержащих медь, и (или) никель, и (или) металлы платиновой группы, на участках недр, расположенных полностью или частично на территории Красноярского края, лицензия на пользование которыми впервые выдана до 1 января 2014 года и степень выработанности запасов которых по состоянию на 1 января 2022 года составляет менее 1 процента, при одновременном выполнении следующих требований:</w:t>
      </w:r>
    </w:p>
    <w:p>
      <w:pPr>
        <w:spacing w:after="120"/>
        <w:ind w:firstLine="709"/>
      </w:pPr>
      <w:r>
        <w:rPr>
          <w:sz w:val="24"/>
        </w:rPr>
        <w:t xml:space="preserve">в добываемой на участках недр, указанных в настоящем пункте, многокомпонентной комплексной руде, содержащей медь, и (или) никель, и (или) металлы платиновой группы, в соответствии с данными государственного баланса запасов полезных ископаемых по состоянию на 1 января 2022 года содержание металлов платиновой группы составляет не менее 1 грамма на 1 тонну руды и не более 4 граммов на 1 тонну руды;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не является резидентом особой экономической зоны любого типа, резидентом территории опережающего развития, резидентом Арктической зоны Российской Федерации, участником регионального инвестиционного проекта, участником специального инвестиционного контракта;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является стороной соглашения о защите и поощрении капиталовложений;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налогоплательщиком заключено инвестиционное соглашение о добыче металлов платиновой группы на участках недр, указанных в настоящем пункте (далее в настоящем пункте - соглашение о добыче палладия), с Министерством финансов Российской Федерации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изучения, использования, воспроизводства и охраны природных ресурсов.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вправе заключить соглашение о добыче палладия до 31 декабря 2023 года включительно. С 1 января 2024 года заключение соглашений о добыче палладия не допускается.</w:t>
      </w:r>
    </w:p>
    <w:p>
      <w:pPr>
        <w:spacing w:after="120"/>
        <w:ind w:firstLine="709"/>
      </w:pPr>
      <w:r>
        <w:rPr>
          <w:sz w:val="24"/>
        </w:rPr>
        <w:t xml:space="preserve">Соглашение о добыче палладия должно содержать следующие существенные условия:</w:t>
      </w:r>
    </w:p>
    <w:p>
      <w:pPr>
        <w:spacing w:after="120"/>
        <w:ind w:firstLine="709"/>
      </w:pPr>
      <w:r>
        <w:rPr>
          <w:sz w:val="24"/>
        </w:rPr>
        <w:t xml:space="preserve">предмет соглашения о добыче палладия - предоставление налогоплательщику права на применение коэффициента К МКР , равного 0, в соответствии с настоящим пунктом при условии принятия данным налогоплательщиком на себя обязательства по осуществлению капитальных вложений в создание, приобретение, сооружение, изготовление объектов основных средств (в том числе объектов дорожной, транспортной, инженерной, энергетической, коммунальной, социальной, цифровой инфраструктур), необходимых для осуществления деятельности по добыче полезных ископаемых, указанных в настоящем пункте, на участках недр, расположенных полностью или частично на территории Красноярского края, и переработке (обогащению, технологическому переделу) таких полезных ископаемых, в объемах и сроки, которые предусмотрены соглашением о добыче палладия;</w:t>
      </w:r>
    </w:p>
    <w:p>
      <w:pPr>
        <w:spacing w:after="120"/>
        <w:ind w:firstLine="709"/>
      </w:pPr>
      <w:r>
        <w:rPr>
          <w:sz w:val="24"/>
        </w:rPr>
        <w:t xml:space="preserve">номера лицензий на пользование участками недр, при добыче полезных ископаемых на которых может применяться коэффициент К МКР , равный 0, и географические координаты таких участков недр;</w:t>
      </w:r>
    </w:p>
    <w:p>
      <w:pPr>
        <w:spacing w:after="120"/>
        <w:ind w:firstLine="709"/>
      </w:pPr>
      <w:r>
        <w:rPr>
          <w:sz w:val="24"/>
        </w:rPr>
        <w:t xml:space="preserve">идентификационный номер налогоплательщика, полное и сокращенное наименования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планируемый объем капитальных вложений по участкам недр, указанным в соглашении о добыче палладия, на период с 1 января 2023 года по 31 декабря 2029 года включительно, величина которого в совокупности за указанный период не может составлять менее 89 000 миллионов рублей без учета налога на добавленную стоимость (далее в настоящем пункте - планируемый объем инвестиций).</w:t>
      </w:r>
    </w:p>
    <w:p>
      <w:pPr>
        <w:spacing w:after="120"/>
        <w:ind w:firstLine="709"/>
      </w:pPr>
      <w:r>
        <w:rPr>
          <w:sz w:val="24"/>
        </w:rPr>
        <w:t xml:space="preserve">Основанием для отказа в заключении соглашения о добыче палладия является наличие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в соглашении о добыче палладия указана недостоверная информация;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налогоплательщик, участки недр и (или) виды добытых полезных ископаемых, указанные в соглашении о добыче палладия, не соответствуют условиям, предусмотренным настоящим пунктом;</w:t>
      </w:r>
    </w:p>
    <w:p>
      <w:pPr>
        <w:spacing w:after="120"/>
        <w:ind w:firstLine="709"/>
      </w:pPr>
      <w:r>
        <w:rPr>
          <w:sz w:val="24"/>
        </w:rPr>
        <w:t xml:space="preserve">соглашение о добыче палладия не соответствует требованиям, установленным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Соглашение о добыче палладия действует до 31 декабря 2037 года включительно, при этом срок его действия продлевается до 31 декабря 2045 года включительно в случае увеличения срока применения коэффициента К МКР , равного 0, по основаниям, предусмотренным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Внесение изменений в соглашение о добыче палладия не допускается, за исключением замены стороны в данном соглашении.</w:t>
      </w:r>
    </w:p>
    <w:p>
      <w:pPr>
        <w:spacing w:after="120"/>
        <w:ind w:firstLine="709"/>
      </w:pPr>
      <w:r>
        <w:rPr>
          <w:sz w:val="24"/>
        </w:rPr>
        <w:t xml:space="preserve">Замена стороны в соглашении о добыче палладия допускается в случае перехода права пользования участками недр, указанными в соглашении о добыче палладия, в соответствии с законодательством Российской Федерации о недрах в течение всего срока действия соглашения о добыче палладия.</w:t>
      </w:r>
    </w:p>
    <w:p>
      <w:pPr>
        <w:spacing w:after="120"/>
        <w:ind w:firstLine="709"/>
      </w:pPr>
      <w:r>
        <w:rPr>
          <w:sz w:val="24"/>
        </w:rPr>
        <w:t xml:space="preserve">Соглашение о замене стороны в соглашении о добыче палладия заключается организацией, к которой перешло право пользования участками недр, указанными в соглашении о добыче палладия, с Министерством финансов Российской Федерации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изучения, использования, воспроизводства и охраны природных ресурсов.</w:t>
      </w:r>
    </w:p>
    <w:p>
      <w:pPr>
        <w:spacing w:after="120"/>
        <w:ind w:firstLine="709"/>
      </w:pPr>
      <w:r>
        <w:rPr>
          <w:sz w:val="24"/>
        </w:rPr>
        <w:t xml:space="preserve">Соглашение о замене стороны в соглашении о добыче палладия должно быть заключено по инициативе организации, к которой перешло право пользования участками недр, указанными в соглашении о добыче палладия, в течение шести месяцев с даты переоформления лицензии на пользование такими участками недр.</w:t>
      </w:r>
    </w:p>
    <w:p>
      <w:pPr>
        <w:spacing w:after="120"/>
        <w:ind w:firstLine="709"/>
      </w:pPr>
      <w:r>
        <w:rPr>
          <w:sz w:val="24"/>
        </w:rPr>
        <w:t xml:space="preserve">В соглашении о замене стороны в соглашении о добыче палладия организация, к которой перешло право пользования участками недр, указанными в соглашении о добыче палладия, принимает на себя все обязательства, предусмотренные соглашением о добыче палладия.</w:t>
      </w:r>
    </w:p>
    <w:p>
      <w:pPr>
        <w:spacing w:after="120"/>
        <w:ind w:firstLine="709"/>
      </w:pPr>
      <w:r>
        <w:rPr>
          <w:sz w:val="24"/>
        </w:rPr>
        <w:t xml:space="preserve">Соглашение о добыче палладия расторгается по истечении срока его действия, а также по соглашению сторон,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Соглашение о добыче палладия расторгается Министерством финансов Российской Федерации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изучения, использования, воспроизводства и охраны природных ресурсов, в одностороннем порядке при наступлении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в случае, если в течение срока действия соглашения о добыче палладия совокупный объем осуществленных налогоплательщиком, и (или) его взаимозависимыми лицами, и (или) организацией, к которой перешло право пользования участками недр, указанными в соглашении о добыче палладия, капитальных вложений в создание, приобретение, сооружение, изготовление объектов основных средств (в том числе объектов дорожной, транспортной, инженерной, энергетической, коммунальной, социальной, цифровой инфраструктур), необходимых для осуществления деятельности по добыче полезных ископаемых на участках недр, указанных в соглашении о добыче палладия, и переработке (обогащению, технологическому переделу) таких полезных ископаемых, без учета налога на добавленную стоимость за период с 1 января 2023 года по 31 декабря 2029 года включительно оказался меньше планируемого объема инвестиций;</w:t>
      </w:r>
    </w:p>
    <w:p>
      <w:pPr>
        <w:spacing w:after="120"/>
        <w:ind w:firstLine="709"/>
      </w:pPr>
      <w:r>
        <w:rPr>
          <w:sz w:val="24"/>
        </w:rPr>
        <w:t xml:space="preserve">в случае досрочного прекращения права пользования хотя бы одним из участков недр, указанных в соглашении о добыче палладия, в соответствии с законодательством Российской Федерации о недрах;</w:t>
      </w:r>
    </w:p>
    <w:p>
      <w:pPr>
        <w:spacing w:after="120"/>
        <w:ind w:firstLine="709"/>
      </w:pPr>
      <w:r>
        <w:rPr>
          <w:sz w:val="24"/>
        </w:rPr>
        <w:t xml:space="preserve">в случае несоблюдения требования о внесении изменений в соглашение о добыче палладия.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при определении совокупного объема осуществленных налогоплательщиком, и (или) его взаимозависимыми лицами, и (или) организацией, к которой перешло право пользования участками недр, указанными в соглашении о добыче палладия, капитальных вложений в создание, приобретение, сооружение, изготовление объектов основных средств (в том числе объектов дорожной, транспортной, инженерной, энергетической, коммунальной, социальной, цифровой инфраструктур), необходимых для осуществления деятельности по добыче полезных ископаемых на участках недр, указанных в соглашении о добыче палладия, и переработке (обогащению, технологическому переделу) таких полезных ископаемых, учитываются авансовые платежи, выданные (перечисленные) поставщикам (подрядчикам) по договорам на приобретение, сооружение, изготовление, доставку данных объектов основных средств и доведение их до состояния, в котором они пригодны для использования, при условии, что данные объекты основных средств введены в эксплуатацию до 31 декабря 2037 года включительно.</w:t>
      </w:r>
    </w:p>
    <w:p>
      <w:pPr>
        <w:spacing w:after="120"/>
        <w:ind w:firstLine="709"/>
      </w:pPr>
      <w:r>
        <w:rPr>
          <w:sz w:val="24"/>
        </w:rPr>
        <w:t xml:space="preserve">Форма соглашения о добыче палладия, форма соглашения о замене стороны в соглашении о добыче палладия, порядок заключения (расторжения) соглашения о добыче палладия,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изучения, использования, воспроизводства и охраны природных ресурсов.</w:t>
      </w:r>
    </w:p>
    <w:p>
      <w:pPr>
        <w:spacing w:after="120"/>
        <w:ind w:firstLine="709"/>
      </w:pPr>
      <w:r>
        <w:rPr>
          <w:sz w:val="24"/>
        </w:rPr>
        <w:t xml:space="preserve">Коэффициент К МКР принимается равным 0 по основаниям, предусмотренным настоящим пунктом, в течение 144 налоговых периодов, начинающихся с 1 января 2026 года. При этом указанный срок продлевается на 96 налоговых периодов в случае, если округленная до целого значения в соответствии с действующим порядком округления величина, рассчитанная как деление на значение 144 суммы определяемых в соответствии с пунктом 1 настоящей статьи за налоговые периоды, дата начала которых приходится на период с 1 января 2026 года по 31 декабря 2037 года включительно, показателей Ц ПЛ , умноженных на коэффициент 0,7, и показателей Ц П , умноженных на коэффициент 0,3, составила менее 64 301 500 долларов США за 1 тонну.</w:t>
      </w:r>
    </w:p>
    <w:p>
      <w:pPr>
        <w:spacing w:after="120"/>
        <w:ind w:firstLine="709"/>
      </w:pPr>
      <w:r>
        <w:rPr>
          <w:sz w:val="24"/>
        </w:rPr>
        <w:t xml:space="preserve">В случае расторжения соглашения о добыче палладия в одностороннем порядке положения настоящего пункта не применяются начиная с налогового периода, в котором впервые применен коэффициент К МКР , равный 0, а сумма налога, исчисленная в отношении добытого полезного ископаемого, указанного в настоящем пункте, с применением коэффициента К МКР , равного 0, за соответствующие налоговые периоды подлежит перерасчету с применением коэффициента К МКР , определяемого в соответствии с пунктами 1 и 2 настоящей статьи, и уплате в бюджет в установленном порядке с уплатой соответствующих сумм пеней, начисляемых со дня, следующего за днем уплаты налога за соответствующий налоговый период.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17.02.2023 N 29-ФЗ)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настоящей статьи степень выработанности запасов полезного ископаемого, год начала промышленной добычи полезного ископаемого на участке недр определяются в порядке, установленном пунктом 11 статьи 342.8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17.02.2023 N 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342.10</dc:title>
  <dc:creator>АРБИТРАЖ! · arbi.ru</dc:creator>
  <cp:lastModifiedBy>АРБИТРАЖ!</cp:lastModifiedBy>
  <dcterms:created xsi:type="dcterms:W3CDTF">2026-10-22T20:24:02.254Z</dcterms:created>
</cp:coreProperties>
</file>