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343.1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28.12.2010 N 425-ФЗ)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 по своему выбору могут уменьшить сумму налога, исчисленную за налоговый период при добыче угля на участке недр, на сумму экономически обоснованных и документально подтвержденных расходов, осуществленных (понесенных) налогоплательщиком в налоговом периоде и связанных с обеспечением безопасных условий и охраны труда при добыче угля на данном участке недр (налоговый вычет), в порядке, установленном настоящей статьей, либо учесть указанные расходы при исчислении налоговой базы по налогу на прибыль организаций в соответствии с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Порядок признания расходов, указанных в настоящем пункте, должен быть отражен в учетной политике для целей налогообложения. Изменение указанного порядка допускается не чаще одного раза в пять лет.</w:t>
      </w:r>
    </w:p>
    <w:p>
      <w:pPr>
        <w:spacing w:after="120"/>
        <w:ind w:firstLine="709"/>
      </w:pPr>
      <w:r>
        <w:rPr>
          <w:sz w:val="24"/>
        </w:rPr>
        <w:t xml:space="preserve">2. Предельная величина налогового вычета, применяемого в соответствии с настоящей статьей, рассчитывается налогоплательщиком самостоятельно как произведение суммы налога, исчисленного при добыче угля на каждом участке недр за налоговый период, и коэффициента К т , определяемого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Коэффициент Кт определяется для каждого участка недр в соответствии с порядком , устанавливаемым Правительством Российской Федерации, с учетом степени метанообильности участка недр, на котором осуществляется добыча угля, а также с учетом склонности угля к самовозгоранию в пласте на участке недр, на котором осуществляется добыча угля. Значение коэффициента К т , рассчитанное в соответствии с настоящей статьей для каждого участка недр, устанавливается в принятой налогоплательщиком учетной политике для целей налогообложения. Значение коэффициента К т не может превышать 0,3.</w:t>
      </w:r>
    </w:p>
    <w:p>
      <w:pPr>
        <w:spacing w:after="120"/>
        <w:ind w:firstLine="709"/>
      </w:pPr>
      <w:r>
        <w:rPr>
          <w:sz w:val="24"/>
        </w:rPr>
        <w:t xml:space="preserve">4. В случае, если фактическая сумма расходов, осуществленных (понесенных) налогоплательщиком в налоговом периоде и связанных с обеспечением безопасных условий и охраны труда при добыче угля, превышает предельную сумму налогового вычета, определенную в соответствии с пунктом 2 настоящей статьи, сумма такого превышения учитывается при определении налогового вычета в течение 36 налоговых периодов после налогового периода, в котором такие расходы были осуществлены (понесены) налогоплательщиком.</w:t>
      </w:r>
    </w:p>
    <w:p>
      <w:pPr>
        <w:spacing w:after="120"/>
        <w:ind w:firstLine="709"/>
      </w:pPr>
      <w:r>
        <w:rPr>
          <w:sz w:val="24"/>
        </w:rPr>
        <w:t xml:space="preserve">5. В налоговый вычет включаются следующие виды расходов, осуществленных (понесенных) налогоплательщиком и связанных с обеспечением безопасных условий и охраны труда при добыче угля (по перечню , устанавливаемому Правительством Российской Федерации):</w:t>
      </w:r>
    </w:p>
    <w:p>
      <w:pPr>
        <w:spacing w:after="120"/>
        <w:ind w:firstLine="709"/>
      </w:pPr>
      <w:r>
        <w:rPr>
          <w:sz w:val="24"/>
        </w:rPr>
        <w:t xml:space="preserve">1) материальные расходы налогоплательщика, определяемые в порядке, предусмотренном главой 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расходы налогоплательщика на приобретение и (или) создание амортизируемого имущества ;</w:t>
      </w:r>
    </w:p>
    <w:p>
      <w:pPr>
        <w:spacing w:after="120"/>
        <w:ind w:firstLine="709"/>
      </w:pPr>
      <w:r>
        <w:rPr>
          <w:sz w:val="24"/>
        </w:rPr>
        <w:t xml:space="preserve">3) расходы, осуществленные (понесенные) налогоплательщиком в случаях достройки, дооборудования, реконструкции, модернизации, технического перевооружения объектов основных средств.</w:t>
      </w:r>
    </w:p>
    <w:p>
      <w:pPr>
        <w:spacing w:after="120"/>
        <w:ind w:firstLine="709"/>
      </w:pPr>
      <w:r>
        <w:rPr>
          <w:sz w:val="24"/>
        </w:rPr>
        <w:t xml:space="preserve">6. Виды расходов, связанных с обеспечением безопасных условий и охраны труда при добыче угля, учитываемых при определении налогового вычета в соответствии с настоящей статьей, устанавливаются в учетной политике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7. Налогоплательщики, у которых отсутствует исчисленная за налоговый период сумма налога, могут учитывать расходы, предусмотренные пунктом 5 настоящей статьи, при определении налогового вычета в порядке, установленном настоящей статьей, начиная с того налогового периода, когда у них возникает обязанность по исчислению налога.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343.1</dc:title>
  <dc:creator>АРБИТРАЖ! · arbi.ru</dc:creator>
  <cp:lastModifiedBy>АРБИТРАЖ!</cp:lastModifiedBy>
  <dcterms:created xsi:type="dcterms:W3CDTF">2026-10-23T00:43:41.010Z</dcterms:created>
</cp:coreProperties>
</file>