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343.7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14.07.2022 N 323-ФЗ)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 в налоговых периодах, начало которых приходится на период с 1 августа 2022 года по 31 декабря 2040 года включительно, вправе уменьшить сумму налога, исчисленную при добыче многокомпонентной комплексной руды, содержащей молибден и медь, на участках недр, расположенных полностью или частично на территории Республики Хакасия, на сумму налогового вычета, определяемого и применяемого в порядке, установленном настоящей статьей (далее в настоящей статье - налоговый вычет).</w:t>
      </w:r>
    </w:p>
    <w:p>
      <w:pPr>
        <w:spacing w:after="120"/>
        <w:ind w:firstLine="709"/>
      </w:pPr>
      <w:r>
        <w:rPr>
          <w:sz w:val="24"/>
        </w:rPr>
        <w:t xml:space="preserve">2.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в период с 1 августа 2022 года по последнее число (включительно) налогового периода, в котором применяется налоговый вычет, сумм расходов на приобретение, сооружение, изготовление, доставку объектов основных средств, соответствующих требованиям, установленным пунктом 4 настоящей статьи, и доведение таких объектов до состояния, в котором они пригодны для использования, и сумм расходов в виде процентов по кредитам, определяемых с учетом особенностей, предусмотренных статьей 269 настоящего Кодекса, в случае, если соответствующие кредитные средства были привлечены для финансирования расходов, указанных в настоящем пункте.</w:t>
      </w:r>
    </w:p>
    <w:p>
      <w:pPr>
        <w:spacing w:after="120"/>
        <w:ind w:firstLine="709"/>
      </w:pPr>
      <w:r>
        <w:rPr>
          <w:sz w:val="24"/>
        </w:rPr>
        <w:t xml:space="preserve">При этом при определении суммы налогового вычета учитываются указанные в настоящем пункте расходы, понесенные в отношении объектов основных средств, введенных в эксплуатацию после даты, указанной в пункте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случае, если в сделках, учитываемых при определении расходов, указанных в настоящем пункте, применялись цены, не признаваемые рыночными, такие расходы учитываются при определении налогового вычета в размере, определенном с использованием цен указанных сделок, принимаемых для целей налогообложения в порядке и с применением методов, установленных главой 14.3 настоящего Кодекса. В целях настоящей статьи рыночная цена определяется с учетом положений статьи 105.3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Сумма налогового вычета, определенная в соответствии с настоящим пунктом, округляется до целого значения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3. Размер налогового вычета в налоговых периодах, начало которых приходится на период с 1 августа 2027 года, не может превышать величину, определяемую для соответствующего налогового периода как разница между суммой налога, исчисленной с применением рентного коэффициента К РЕНТА , равного 3,5, и суммой налога, исчисленной с применением рентного коэффициента К РЕНТА , равного 1.</w:t>
      </w:r>
    </w:p>
    <w:p>
      <w:pPr>
        <w:spacing w:after="120"/>
        <w:ind w:firstLine="709"/>
      </w:pPr>
      <w:r>
        <w:rPr>
          <w:sz w:val="24"/>
        </w:rPr>
        <w:t xml:space="preserve">4. В целях применения налогового вычета объекты основных средств, указанные в пункте 2 настоящей статьи, должны относиться к горнодобывающему оборудованию и горной технике, используемым в деятельности по добыче полезных ископаемых, указанных в пункте 1 настоящей статьи, и включенным в перечень , утверждаемый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промышленного и оборонно-промышленного комплексов, по согласованию с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Классификация имущества в качестве объектов основных средств осуществляется на основании положений пункта 1 статьи 257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пункте объекты основных средств должны быть введены в эксплуатацию не ранее 1 августа 2022 года.</w:t>
      </w:r>
    </w:p>
    <w:p>
      <w:pPr>
        <w:spacing w:after="120"/>
        <w:ind w:firstLine="709"/>
      </w:pPr>
      <w:r>
        <w:rPr>
          <w:sz w:val="24"/>
        </w:rPr>
        <w:t xml:space="preserve">5. Суммы фактически оплаченных расходов, указанных в пункте 2 настоящей статьи, не учтенные при определении суммы налогового вычета в налоговом периоде, могут быть учтены при определении налогового вычета в последующих налоговых периодах.</w:t>
      </w:r>
    </w:p>
    <w:p>
      <w:pPr>
        <w:spacing w:after="120"/>
        <w:ind w:firstLine="709"/>
      </w:pPr>
      <w:r>
        <w:rPr>
          <w:sz w:val="24"/>
        </w:rPr>
        <w:t xml:space="preserve">Суммы фактически оплаченных расходов, указанных в пункте 2 настоящей статьи, учтенные при определении суммы налогового вычета в налоговом периоде, не подлежат повторному включению в состав налогового вычета в иных налоговых периодах, а также при добыче полезных ископаемых на других участках недр и (или) добыче иных полезных ископаемых на данном участке недр.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343.7</dc:title>
  <dc:creator>АРБИТРАЖ! · arbi.ru</dc:creator>
  <cp:lastModifiedBy>АРБИТРАЖ!</cp:lastModifiedBy>
  <dcterms:created xsi:type="dcterms:W3CDTF">2026-10-22T18:51:57.215Z</dcterms:created>
</cp:coreProperties>
</file>