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343.8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 в налоговых периодах, начало которых приходится на период с 1 января 2023 года по 31 декабря 2026 года включительно, вправе уменьшить сумму налога, исчисленную при добыче железной руды (за исключением окисленных железистых кварцитов) на участках недр, расположенных полностью или частично в границах Качканарского и Нижнетуринского городских округов Свердловской области, на сумму налогового вычета, определяемого и применяемого в порядке, установленном настоящей статьей (далее в настоящей статье - налоговый вычет).</w:t>
      </w:r>
    </w:p>
    <w:p>
      <w:pPr>
        <w:spacing w:after="120"/>
        <w:ind w:firstLine="709"/>
      </w:pPr>
      <w:r>
        <w:rPr>
          <w:sz w:val="24"/>
        </w:rPr>
        <w:t xml:space="preserve">2.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периодах, но не ранее 1 января 2022 года сумм расходов на приобретение, сооружение, изготовление, доставку объектов основных средств, соответствующих требованиям, установленным пунктом 4 настоящей статьи, и доведение таких объектов до состояния, в котором они пригодны для использования, умноженных на коэффициент 0,33.</w:t>
      </w:r>
    </w:p>
    <w:p>
      <w:pPr>
        <w:spacing w:after="120"/>
        <w:ind w:firstLine="709"/>
      </w:pPr>
      <w:r>
        <w:rPr>
          <w:sz w:val="24"/>
        </w:rPr>
        <w:t xml:space="preserve">К расходам на приобретение, сооружение, изготовление, доставку объектов основных средств, соответствующих требованиям, установленным пунктом 4 настоящей статьи, и доведение таких объектов до состояния, в котором они пригодны для использования, в целях настоящей статьи относятся также расходы на достройку, дооборудование, реконструкцию, модернизацию, техническое перевооружение, частичную ликвидацию указанных объектов. При этом данные понятия используются в значении, указанном в статье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случае, если в сделках, учитываемых при определении расходов, указанных в настоящем пункте, применялись цены, не признаваемые рыночными, эти расходы учитываются при определении налогового вычета в размере, определенном с использованием цен указанных сделок, принимаемых для целей налогообложения в порядке и с применением методов, установленных главой 14.3 настоящего Кодекса. В целях настоящей статьи рыночная цена определяется с учетом положений статьи 105.3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Сумма налогового вычета, определенная в соответствии с настоящим пунктом, округляется до целого значения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3. Налоговый вычет не применяется начиная с налогового периода, в котором определенная нарастающим итогом сумма налоговых вычетов, предусмотренных пунктом 2 настоящей статьи, впервые оказалась более 10 000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4. В целях применения налогового вычета объекты основных средств, указанные в пункте 2 настоящей статьи, должны относиться к объектам размещения отходов горнодобывающего и связанных с ним перерабатывающих производств, образованных в процессе переработки железной руды (за исключением окисленных железистых кварцитов), добытой на участках недр, указанных в пункте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Классификация имущества в качестве объектов основных средств осуществляется на основании положений пункта 1 статьи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Суммы фактически оплаченных расходов, указанных в пункте 2 настоящей статьи, не учтенные при определении суммы налогового вычета в налоговом периоде, могут быть учтены при определении налогового вычета в последующих налоговых периодах.</w:t>
      </w:r>
    </w:p>
    <w:p>
      <w:pPr>
        <w:spacing w:after="120"/>
        <w:ind w:firstLine="709"/>
      </w:pPr>
      <w:r>
        <w:rPr>
          <w:sz w:val="24"/>
        </w:rPr>
        <w:t xml:space="preserve">Суммы фактически оплаченных расходов, указанных в пункте 2 настоящей статьи, учтенные при определении суммы налогового вычета в налоговом периоде, не подлежат повторному включению в состав налогового вычета в иных налоговых периодах, а также при добыче полезных ископаемых на других участках недр и (или) добыче иных полезных ископаемых на данном участке недр.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343.8</dc:title>
  <dc:creator>АРБИТРАЖ! · arbi.ru</dc:creator>
  <cp:lastModifiedBy>АРБИТРАЖ!</cp:lastModifiedBy>
  <dcterms:created xsi:type="dcterms:W3CDTF">2026-10-22T20:21:07.489Z</dcterms:created>
</cp:coreProperties>
</file>