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343.10</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 Налог на добычу полезных ископаемых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28.11.2025 N 425-ФЗ)</w:t>
      </w:r>
    </w:p>
    <w:p>
      <w:pPr>
        <w:spacing w:after="120"/>
        <w:ind w:firstLine="709"/>
      </w:pPr>
      <w:r>
        <w:rPr>
          <w:sz w:val="24"/>
        </w:rPr>
        <w:t xml:space="preserve">1. Налогоплательщик в налоговых периодах, дата начала которых приходится на период с 1 января 2026 года по 31 декабря 2030 года включительно, вправе уменьшить сумму налога, исчисленную при добыче железной руды (за исключением окисленных железистых кварцитов) на участках недр, расположенных полностью или частично в границах муниципального округа город Оленегорск с подведомственной территорией Мурманской области, на сумму налогового вычета, определяемого и применяемого в порядке, установленном настоящей статьей (далее в настоящей статье - налоговый вычет).</w:t>
      </w:r>
    </w:p>
    <w:p>
      <w:pPr>
        <w:spacing w:after="120"/>
        <w:ind w:firstLine="709"/>
      </w:pPr>
      <w:r>
        <w:rPr>
          <w:sz w:val="24"/>
        </w:rPr>
        <w:t xml:space="preserve">2. Сумма налогового вычета за налоговый период определяется в совокупности по указанным в пункте 1 настоящей статьи участкам недр как величина фактически оплаченных налогоплательщиком в данном налоговом периоде и предыдущих налоговых периодах, но не ранее 1 января 2025 года сумм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умноженных на коэффициент 0,5.</w:t>
      </w:r>
    </w:p>
    <w:p>
      <w:pPr>
        <w:spacing w:after="120"/>
        <w:ind w:firstLine="709"/>
      </w:pPr>
      <w:r>
        <w:rPr>
          <w:sz w:val="24"/>
        </w:rPr>
        <w:t xml:space="preserve">К расходам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в целях настоящей статьи относятся также расходы на достройку, дооборудование, реконструкцию, модернизацию, техническое перевооружение, частичную ликвидацию указанных объектов. При этом данные понятия используются в значении, указанном в статье 257 настоящего Кодекса.</w:t>
      </w:r>
    </w:p>
    <w:p>
      <w:pPr>
        <w:spacing w:after="120"/>
        <w:ind w:firstLine="709"/>
      </w:pPr>
      <w:r>
        <w:rPr>
          <w:sz w:val="24"/>
        </w:rPr>
        <w:t xml:space="preserve">В случае, если в сделках, учитываемых при определении расходов, указанных в настоящем пункте, применялись цены, не признаваемые рыночными, эти расходы учитываются при определении налогового вычета в размере, определенном с использованием цен указанных сделок, принимаемых для целей налогообложения в порядке и с применением методов, установленных главой 14.3 настоящего Кодекса. В целях настоящей статьи рыночная цена определяется с учетом положений статьи 105.3 настоящего Кодекса.</w:t>
      </w:r>
    </w:p>
    <w:p>
      <w:pPr>
        <w:spacing w:after="120"/>
        <w:ind w:firstLine="709"/>
      </w:pPr>
      <w:r>
        <w:rPr>
          <w:sz w:val="24"/>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объектов основных средств, соответствующих требованиям, установленным пунктом 4 настоящей статьи, и доведение таких объектов до состояния, в котором они пригодны для использования, указанные расходы не учитываются при определении суммы налогового вычета.</w:t>
      </w:r>
    </w:p>
    <w:p>
      <w:pPr>
        <w:spacing w:after="120"/>
        <w:ind w:firstLine="709"/>
      </w:pPr>
      <w:r>
        <w:rPr>
          <w:sz w:val="24"/>
        </w:rPr>
        <w:t xml:space="preserve">Сумма налогового вычета, определенная в соответствии с настоящим пунктом, округляется до целого значения в соответствии с действующим порядком округления.</w:t>
      </w:r>
    </w:p>
    <w:p>
      <w:pPr>
        <w:spacing w:after="120"/>
        <w:ind w:firstLine="709"/>
      </w:pPr>
      <w:r>
        <w:rPr>
          <w:sz w:val="24"/>
        </w:rPr>
        <w:t xml:space="preserve">3. Налоговый вычет не применяется начиная с налогового периода, в котором определенная нарастающим итогом сумма налоговых вычетов, предусмотренных пунктом 2 настоящей статьи, впервые оказалась более 10 000 миллионов рублей.</w:t>
      </w:r>
    </w:p>
    <w:p>
      <w:pPr>
        <w:spacing w:after="120"/>
        <w:ind w:firstLine="709"/>
      </w:pPr>
      <w:r>
        <w:rPr>
          <w:sz w:val="24"/>
        </w:rPr>
        <w:t xml:space="preserve">4. В целях применения налогового вычета объекты основных средств, указанные в пункте 2 настоящей статьи, должны относиться к горнодобывающему оборудованию и горной технике, объектам дорожной, транспортной, инженерной, энергетической инфраструктур, объектам хранения отходов недропользования, предназначенным для осуществления деятельности по добыче железной руды (за исключением окисленных железистых кварцитов) на участках недр, указанных в пункте 1 настоящей статьи, и (или) к производственным мощностям, используемым для дальнейшей переработки (обогащения, технологического передела) указанных полезных ископаемых, а также к объектам размещения отходов, образованных в процессе такой переработки (обогащения, технологического передела).</w:t>
      </w:r>
    </w:p>
    <w:p>
      <w:pPr>
        <w:spacing w:after="120"/>
        <w:ind w:firstLine="709"/>
      </w:pPr>
      <w:r>
        <w:rPr>
          <w:sz w:val="24"/>
        </w:rPr>
        <w:t xml:space="preserve">Для целей настоящей статьи перечень видов объектов основных средств, расходы на приобретение (создание) которых учитываются при определении налогового вычета,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pPr>
        <w:spacing w:after="120"/>
        <w:ind w:firstLine="709"/>
      </w:pPr>
      <w:r>
        <w:rPr>
          <w:sz w:val="24"/>
        </w:rPr>
        <w:t xml:space="preserve">Классификация имущества в качестве объектов основных средств осуществляется на основании положений пункта 1 статьи 257 настоящего Кодекса.</w:t>
      </w:r>
    </w:p>
    <w:p>
      <w:pPr>
        <w:spacing w:after="120"/>
        <w:ind w:firstLine="709"/>
      </w:pPr>
      <w:r>
        <w:rPr>
          <w:sz w:val="24"/>
        </w:rPr>
        <w:t xml:space="preserve">Указанные в настоящем пункте объекты основных средств должны быть введены в эксплуатацию после 1 января 2025 года.</w:t>
      </w:r>
    </w:p>
    <w:p>
      <w:pPr>
        <w:spacing w:after="120"/>
        <w:ind w:firstLine="709"/>
      </w:pPr>
      <w:r>
        <w:rPr>
          <w:sz w:val="24"/>
        </w:rPr>
        <w:t xml:space="preserve">В отношении указанных в настоящем пункте объектов основных средств не применены инвестиционный налоговый вычет, предусмотренный статьей 286.1 настоящего Кодекса, федеральный инвестиционный налоговый вычет, установленный статьей 286.2 настоящего Кодекса, налоговый вычет, установленный статьей 343.6 настоящего Кодекса, налоговый вычет для организации, признаваемой налогоплательщиком - участником соглашения о защите и поощрении капиталовложений, предусмотренный статьей 25.18 настоящего Кодекса.</w:t>
      </w:r>
    </w:p>
    <w:p>
      <w:pPr>
        <w:spacing w:after="120"/>
        <w:ind w:firstLine="709"/>
      </w:pPr>
      <w:r>
        <w:rPr>
          <w:sz w:val="24"/>
        </w:rPr>
        <w:t xml:space="preserve">5. Суммы фактически оплаченных расходов, указанных в пункте 2 настоящей статьи, не учтенные при определении суммы налогового вычета в налоговом периоде, могут быть учтены при определении налогового вычета в последующих налоговых периодах.</w:t>
      </w:r>
    </w:p>
    <w:p>
      <w:pPr>
        <w:spacing w:after="120"/>
        <w:ind w:firstLine="709"/>
      </w:pPr>
      <w:r>
        <w:rPr>
          <w:sz w:val="24"/>
        </w:rPr>
        <w:t xml:space="preserve">Суммы фактически оплаченных расходов, указанных в пункте 2 настоящей статьи, учтенные при определении суммы налогового вычета в налоговом периоде, не подлежат повторному включению в состав налогового вычета в иных налоговых периодах, а также при добыче полезных ископаемых на других участках недр и (или) добыче иных полезных ископаемых на данном участке недр.</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343.10</dc:title>
  <dc:creator>АРБИТРАЖ! · arbi.ru</dc:creator>
  <cp:lastModifiedBy>АРБИТРАЖ!</cp:lastModifiedBy>
  <dcterms:created xsi:type="dcterms:W3CDTF">2026-10-22T20:20:05.034Z</dcterms:created>
</cp:coreProperties>
</file>