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сроков уплаты налога на железную руду и на уголь см. Постановления Правительства РФ от 29.10.2025 N 1683 и от 25.07.2025 N 1105 соответственно.</w:t>
      </w:r>
    </w:p>
    <w:p>
      <w:pPr>
        <w:spacing w:after="120"/>
        <w:ind w:firstLine="709"/>
      </w:pPr>
      <w:r>
        <w:rPr>
          <w:sz w:val="24"/>
        </w:rPr>
        <w:t xml:space="preserve">Сумма налога, подлежащая уплате по итогу налогового периода, уплачивается не позднее 28-го числа месяца, следующего за истекшим налоговым периодом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344</dc:title>
  <dc:creator>АРБИТРАЖ! · arbi.ru</dc:creator>
  <cp:lastModifiedBy>АРБИТРАЖ!</cp:lastModifiedBy>
  <dcterms:created xsi:type="dcterms:W3CDTF">2026-10-22T20:19:45.965Z</dcterms:created>
</cp:coreProperties>
</file>