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425-ФЗ)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в установленном порядке ведение государственного баланса запасов полезных ископаемых, направляет в налоговые органы данные государственного баланса запасов полезных ископаемых на 1-е число каждого календарного года, включающие в том числе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пользователя недр, идентификационный номер налогоплательщика и код причины постановки на учет;</w:t>
      </w:r>
    </w:p>
    <w:p>
      <w:pPr>
        <w:spacing w:after="120"/>
        <w:ind w:firstLine="709"/>
      </w:pPr>
      <w:r>
        <w:rPr>
          <w:sz w:val="24"/>
        </w:rPr>
        <w:t xml:space="preserve">2) реквизиты лицензии на право пользования недрами;</w:t>
      </w:r>
    </w:p>
    <w:p>
      <w:pPr>
        <w:spacing w:after="120"/>
        <w:ind w:firstLine="709"/>
      </w:pPr>
      <w:r>
        <w:rPr>
          <w:sz w:val="24"/>
        </w:rPr>
        <w:t xml:space="preserve">3) сведения по каждому виду углеводородного сырья, указанному в подпункте 3 пункта 2 статьи 337 настоящего Кодекса, в том числе:</w:t>
      </w:r>
    </w:p>
    <w:p>
      <w:pPr>
        <w:spacing w:after="120"/>
        <w:ind w:firstLine="709"/>
      </w:pPr>
      <w:r>
        <w:rPr>
          <w:sz w:val="24"/>
        </w:rPr>
        <w:t xml:space="preserve">сведения о накопленной добыче (включая потери при добыче) и начальных извлекаемых запасах, утвержденных в установленном порядке, с учетом прироста и списания запасов (за исключением списания запасов добытых полезных ископаемых и потерь при добыче) всех категорий по каждому конкретному участку недр, а также по каждой конкретной залежи углеводородного сырья, указанной в подпунктах 2 - 4 пункта 1 статьи 342.2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показатели проницаемости и эффективной нефтенасыщенной толщины пласта по залежи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наименование продуктивных отложений, к которым отнесена залежь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сведения о накопленной добыче каждого вида углеводородного сырья на новом морском месторождении углеводородного сырья (включая потери при добыче) и его начальных запасах (для нефти - начальных извлекаемых запасах), утвержденных в установленном порядке, с учетом прироста и списания запасов полезного ископаемого (за исключением списания запасов добытого полезного ископаемого и потерь при добыче) всех категорий по каждому месторождению (залежи)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сведения о месторождениях, предусмотренные пунктом 6 статьи 338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сведения о минимальной глубине залегания залежи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4) сведения о добыче антрацита, угля коксующегося, угля бурого и угля, за исключением антрацита, угля коксующегося и угля бурого, и фактических потерях при добыче (в разрезе пластов);</w:t>
      </w:r>
    </w:p>
    <w:p>
      <w:pPr>
        <w:spacing w:after="120"/>
        <w:ind w:firstLine="709"/>
      </w:pPr>
      <w:r>
        <w:rPr>
          <w:sz w:val="24"/>
        </w:rPr>
        <w:t xml:space="preserve">5) сведения о добыче руд, содержащих черные, цветные, редкие и драгоценные металлы, о долях содержания металлов в руде, а также потерях металлов при добыче соответствующих руд;</w:t>
      </w:r>
    </w:p>
    <w:p>
      <w:pPr>
        <w:spacing w:after="120"/>
        <w:ind w:firstLine="709"/>
      </w:pPr>
      <w:r>
        <w:rPr>
          <w:sz w:val="24"/>
        </w:rPr>
        <w:t xml:space="preserve">6) сведения о добыче (включая потери при добыче) полезных ископаемых, не указанных в подпунктах 3 - 5 настоящего пункта, о накопленной добыче (включая потери при добыче) и начальных извлекаемых запасах, утвержденных в установленном порядке, с учетом прироста и списания запасов (за исключением списания запасов добытых полезных ископаемых и потерь при добыче) всех категорий по каждому конкретному участку недр.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Данные представляются после выпуска государственного баланса запасов полезных ископаемых на 1-е число каждого календарного года, но не позднее 1-го числа следующего календарного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345.1</dc:title>
  <dc:creator>АРБИТРАЖ! · arbi.ru</dc:creator>
  <cp:lastModifiedBy>АРБИТРАЖ!</cp:lastModifiedBy>
  <dcterms:created xsi:type="dcterms:W3CDTF">2026-10-22T22:01:16.993Z</dcterms:created>
</cp:coreProperties>
</file>