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26.1. Система налогообложения для сельскохозяйственных товаропроизводителей (единый сельскохозяйственный налог)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Налоговым периодом признается календарный год.</w:t>
      </w:r>
    </w:p>
    <w:p>
      <w:pPr>
        <w:spacing w:after="120"/>
        <w:ind w:firstLine="709"/>
      </w:pPr>
      <w:r>
        <w:rPr>
          <w:sz w:val="24"/>
        </w:rPr>
        <w:t xml:space="preserve">2. Отчетным периодом признается полугодие.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346.7</dc:title>
  <dc:creator>АРБИТРАЖ! · arbi.ru</dc:creator>
  <cp:lastModifiedBy>АРБИТРАЖ!</cp:lastModifiedBy>
  <dcterms:created xsi:type="dcterms:W3CDTF">2026-10-22T20:34:56.771Z</dcterms:created>
</cp:coreProperties>
</file>