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346.8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26.1. Система налогообложения для сельскохозяйственных товаропроизводителей (единый сельскохозяйственный налог)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29.11.2014 N 379-ФЗ)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Налоговая ставка устанавливается в размере 6 процентов.</w:t>
      </w:r>
    </w:p>
    <w:p>
      <w:pPr>
        <w:spacing w:after="120"/>
        <w:ind w:firstLine="709"/>
      </w:pPr>
      <w:r>
        <w:rPr>
          <w:sz w:val="24"/>
        </w:rPr>
        <w:t xml:space="preserve">2. Законами субъектов Российской Федерации могут быть установлены дифференцированные налоговые ставки в пределах от 0 до 6 процентов для всех или отдельных категорий налогоплательщиков в зависимости:</w:t>
      </w:r>
    </w:p>
    <w:p>
      <w:pPr>
        <w:spacing w:after="120"/>
        <w:ind w:firstLine="709"/>
      </w:pPr>
      <w:r>
        <w:rPr>
          <w:sz w:val="24"/>
        </w:rPr>
        <w:t xml:space="preserve">от видов производимой сельскохозяйственной продукции, а также работ и услуг, указанных в статье 346.2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от размера доходов от реализации произведенной сельскохозяйственной продукции , включая продукцию ее первичной переработки , произведенную из сельскохозяйственного сырья собственного производства, а также от выполнения работ и оказания услуг, указанных в статье 346.2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от места ведения предпринимательской деятельности;</w:t>
      </w:r>
    </w:p>
    <w:p>
      <w:pPr>
        <w:spacing w:after="120"/>
        <w:ind w:firstLine="709"/>
      </w:pPr>
      <w:r>
        <w:rPr>
          <w:sz w:val="24"/>
        </w:rPr>
        <w:t xml:space="preserve">от средней численности работников.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07.03.2018 N 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346.8</dc:title>
  <dc:creator>АРБИТРАЖ! · arbi.ru</dc:creator>
  <cp:lastModifiedBy>АРБИТРАЖ!</cp:lastModifiedBy>
  <dcterms:created xsi:type="dcterms:W3CDTF">2026-10-22T14:06:05.653Z</dcterms:created>
</cp:coreProperties>
</file>