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346.37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26.4. Система налогообложения при выполнении соглашений о разделе продукции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Положения настоящей статьи применяются при выполнении соглашений, которые предусматривают условия раздела произведенной продукции в соответствии с пунктом 1 статьи 8 Федерального закона "О соглашениях о разделе продукции".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Налогоплательщики определяют сумму налога на добычу полезных ископаемых, подлежащую уплате, в соответствии с главой 26 настоящего Кодекса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3. Налоговая база при добыче нефти и газового конденсата из нефтегазоконденсатных месторождений определяется как количество добытых полезных ископаемых в натуральном выражении в соответствии со статьей 339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Налоговая база определяется отдельно по каждому соглашению.</w:t>
      </w:r>
    </w:p>
    <w:p>
      <w:pPr>
        <w:spacing w:after="120"/>
        <w:ind w:firstLine="709"/>
      </w:pPr>
      <w:r>
        <w:rPr>
          <w:sz w:val="24"/>
        </w:rPr>
        <w:t xml:space="preserve">5. Налоговая ставка при добыче нефти и газового конденсата из нефтегазоконденсатных месторождений составляет 340 рублей за одну тонну. При этом указанная налоговая ставка применяется с коэффициентом, характеризующим динамику мировых цен на нефть, - Кц.</w:t>
      </w:r>
    </w:p>
    <w:p>
      <w:pPr>
        <w:spacing w:after="120"/>
        <w:ind w:firstLine="709"/>
      </w:pPr>
      <w:r>
        <w:rPr>
          <w:sz w:val="24"/>
        </w:rPr>
        <w:t xml:space="preserve">Данный коэффициент ежемесячно определяется налогоплательщиком самостоятельно по формуле:</w:t>
      </w:r>
    </w:p>
    <w:p>
      <w:pPr>
        <w:spacing w:after="120"/>
        <w:ind w:firstLine="709"/>
      </w:pPr>
      <w:r>
        <w:rPr>
          <w:sz w:val="24"/>
        </w:rPr>
        <w:t xml:space="preserve">Кц = (Ц - 8) x Р / 252,</w:t>
      </w:r>
    </w:p>
    <w:p>
      <w:pPr>
        <w:spacing w:after="120"/>
        <w:ind w:firstLine="709"/>
      </w:pPr>
      <w:r>
        <w:rPr>
          <w:sz w:val="24"/>
        </w:rPr>
        <w:t xml:space="preserve">где Ц - средний за истекший налоговый период уровень цен нефти сорта "Юралс", определяемый в соответствии с пунктом 3 статьи 342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 - среднее значение за налоговый период курса доллара США к рублю Российской Федерации, устанавливаемого Центральным банком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Абзацы шестой - седьмой утратили силу. - Федеральный закон от 28.11.2025 N 425-ФЗ.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2025 года. - Федеральный закон от 29.10.2024 N 362-ФЗ.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Абзацы девятый - десятый утратили силу. - Федеральный закон от 28.11.2025 N 425-ФЗ.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Рассчитанный в порядке, определенном настоящей статьей, коэффициент (Кц) округляется до четвертого знака в соответствии с действующим порядком округления.</w:t>
      </w:r>
    </w:p>
    <w:p>
      <w:pPr>
        <w:spacing w:after="120"/>
        <w:ind w:firstLine="709"/>
      </w:pPr>
      <w:r>
        <w:rPr>
          <w:sz w:val="24"/>
        </w:rPr>
        <w:t xml:space="preserve">Сумма налога на добычу полезных ископаемых при добыче нефти и газового конденсата из нефтегазоконденсатных месторождений исчисляется как произведение соответствующей налоговой ставки, исчисленной с учетом коэффициента (К ц ), и величины налоговой базы, определяемой в соответствии с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6. При выполнении соглашений налоговые ставки, установленные статьей 342 настоящего Кодекса, при добыче полезных ископаемых, за исключением нефти и газового конденсата, применяются с коэффициентом 0,5.</w:t>
      </w:r>
    </w:p>
    <w:p>
      <w:pPr>
        <w:spacing w:after="120"/>
        <w:ind w:firstLine="709"/>
      </w:pPr>
      <w:r>
        <w:rPr>
          <w:sz w:val="24"/>
        </w:rPr>
        <w:t xml:space="preserve">7. Налоговая ставка, установленная пунктом 5 настоящей статьи, применяется при добыче нефти и газового конденсата из нефтегазоконденсатных месторождений с коэффициентом 0,5 до достижения предельного уровня коммерческой добычи нефти и газового конденсата, который может быть установлен соглашением.</w:t>
      </w:r>
    </w:p>
    <w:p>
      <w:pPr>
        <w:spacing w:after="120"/>
        <w:ind w:firstLine="709"/>
      </w:pPr>
      <w:r>
        <w:rPr>
          <w:sz w:val="24"/>
        </w:rPr>
        <w:t xml:space="preserve">В случае, если соглашением установлен предельный уровень коммерческой добычи нефти и газового конденсата, при достижении такого предельного уровня налоговая ставка применяется с коэффициентом 1, который не изменяется в течение всего срока действия соглашения.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346.37</dc:title>
  <dc:creator>АРБИТРАЖ! · arbi.ru</dc:creator>
  <cp:lastModifiedBy>АРБИТРАЖ!</cp:lastModifiedBy>
  <dcterms:created xsi:type="dcterms:W3CDTF">2026-10-22T20:21:40.744Z</dcterms:created>
</cp:coreProperties>
</file>