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346.35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26.4. Система налогообложения при выполнении соглашений о разделе продукции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Настоящая глава устанавливает специальный налоговый режим, применяемый при выполнении соглашений, которые заключены в соответствии с Федеральным законом "О соглашениях о разделе продукции" и отвечают следующим условиям:</w:t>
      </w:r>
    </w:p>
    <w:p>
      <w:pPr>
        <w:spacing w:after="120"/>
        <w:ind w:firstLine="709"/>
      </w:pPr>
      <w:r>
        <w:rPr>
          <w:sz w:val="24"/>
        </w:rPr>
        <w:t xml:space="preserve">1) соглашения заключены после проведения аукциона на предоставление права пользования недрами на иных условиях, чем раздел продукции, в порядке и на условиях, которые определены пунктом 4 статьи 2 Федерального закона "О соглашениях о разделе продукции", и признания аукциона несостоявшимся;</w:t>
      </w:r>
    </w:p>
    <w:p>
      <w:pPr>
        <w:spacing w:after="120"/>
        <w:ind w:firstLine="709"/>
      </w:pPr>
      <w:r>
        <w:rPr>
          <w:sz w:val="24"/>
        </w:rPr>
        <w:t xml:space="preserve">2) при выполнении соглашений, в которых применяется порядок раздела продукции, установленный пунктом 2 статьи 8 Федерального закона "О соглашениях о разделе продукции", доля государства в общем объеме произведенной продукции составляет не менее 32 процентов общего количества произведенной продукции;</w:t>
      </w:r>
    </w:p>
    <w:p>
      <w:pPr>
        <w:spacing w:after="120"/>
        <w:ind w:firstLine="709"/>
      </w:pPr>
      <w:r>
        <w:rPr>
          <w:sz w:val="24"/>
        </w:rPr>
        <w:t xml:space="preserve">3) соглашения предусматривают увеличение доли государства в прибыльной продукции в случае улучшения показателей инвестиционной эффективности для инвестора при выполнении соглашения. Показатели инвестиционной эффективности устанавливаются в соответствии с условиями соглашения.</w:t>
      </w:r>
    </w:p>
    <w:p>
      <w:pPr>
        <w:spacing w:after="120"/>
        <w:ind w:firstLine="709"/>
      </w:pPr>
      <w:r>
        <w:rPr>
          <w:sz w:val="24"/>
        </w:rPr>
        <w:t xml:space="preserve">2. Налогоплательщик, использующий право на применение специального налогового режима при выполнении соглашений, представляет в налоговые органы соответствующие уведомления в письменном виде и следующие документы:</w:t>
      </w:r>
    </w:p>
    <w:p>
      <w:pPr>
        <w:spacing w:after="120"/>
        <w:ind w:firstLine="709"/>
      </w:pPr>
      <w:r>
        <w:rPr>
          <w:sz w:val="24"/>
        </w:rPr>
        <w:t xml:space="preserve">соглашение о разделе продукции;</w:t>
      </w:r>
    </w:p>
    <w:p>
      <w:pPr>
        <w:spacing w:after="120"/>
        <w:ind w:firstLine="709"/>
      </w:pPr>
      <w:r>
        <w:rPr>
          <w:sz w:val="24"/>
        </w:rPr>
        <w:t xml:space="preserve">решение об утверждении результатов аукциона на предоставление права пользования участком недр на иных условиях, чем раздел продукции, в соответствии с Законом Российской Федерации "О недрах" и о признании аукциона несостоявшимся в связи с отсутствием участников.</w:t>
      </w:r>
    </w:p>
    <w:p>
      <w:pPr>
        <w:spacing w:after="120"/>
        <w:ind w:firstLine="709"/>
      </w:pPr>
      <w:r>
        <w:rPr>
          <w:sz w:val="24"/>
        </w:rPr>
        <w:t xml:space="preserve">3. В целях настоящей главы цена продукции (цена нефти) применяется для определения объема компенсационной продукции, передаваемой инвестору, для раздела прибыльной продукции в стоимостном выражении, для определения прибыли, подлежащей налогообложению, а также для компенсации расходов инвестора на уплату налогов и сборов в случаях, предусмотренных настоящей главой.</w:t>
      </w:r>
    </w:p>
    <w:p>
      <w:pPr>
        <w:spacing w:after="120"/>
        <w:ind w:firstLine="709"/>
      </w:pPr>
      <w:r>
        <w:rPr>
          <w:sz w:val="24"/>
        </w:rPr>
        <w:t xml:space="preserve">4. Установленный настоящей главой специальный налоговый режим применяется в течение всего срока действия соглашения.</w:t>
      </w:r>
    </w:p>
    <w:p>
      <w:pPr>
        <w:spacing w:after="120"/>
        <w:ind w:firstLine="709"/>
      </w:pPr>
      <w:r>
        <w:rPr>
          <w:sz w:val="24"/>
        </w:rPr>
        <w:t xml:space="preserve">5. Установленный настоящей главой специальный налоговый режим применяется в отношении налогоплательщиков и плательщиков сборов, указанных в статье 346.36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6. Установленный настоящей главой специальный налоговый режим предусматривает замену уплаты совокупности налогов и сборов, установленных законодательством Российской Федерации о налогах и сборах, разделом произведенной продукции в соответствии с условиями соглашения, за исключением налогов и сборов, уплата которых предусмотрена настоящей главой.</w:t>
      </w:r>
    </w:p>
    <w:p>
      <w:pPr>
        <w:spacing w:after="120"/>
        <w:ind w:firstLine="709"/>
      </w:pPr>
      <w:r>
        <w:rPr>
          <w:sz w:val="24"/>
        </w:rPr>
        <w:t xml:space="preserve">7. При выполнении соглашения, предусматривающего условия раздела произведенной продукции в соответствии с пунктом 1 статьи 8 Федерального закона "О соглашениях о разделе продукции", инвестор уплачивает следующие налоги и сборы:</w:t>
      </w:r>
    </w:p>
    <w:p>
      <w:pPr>
        <w:spacing w:after="120"/>
        <w:ind w:firstLine="709"/>
      </w:pPr>
      <w:r>
        <w:rPr>
          <w:sz w:val="24"/>
        </w:rPr>
        <w:t xml:space="preserve">налог на добавленную стоимость;</w:t>
      </w:r>
    </w:p>
    <w:p>
      <w:pPr>
        <w:spacing w:after="120"/>
        <w:ind w:firstLine="709"/>
      </w:pPr>
      <w:r>
        <w:rPr>
          <w:sz w:val="24"/>
        </w:rPr>
        <w:t xml:space="preserve">налог на прибыль организаций;</w:t>
      </w:r>
    </w:p>
    <w:p>
      <w:pPr>
        <w:spacing w:after="120"/>
        <w:ind w:firstLine="709"/>
      </w:pPr>
      <w:r>
        <w:rPr>
          <w:sz w:val="24"/>
        </w:rPr>
        <w:t xml:space="preserve">абзац утратил силу с 1 января 2010 года. - Федеральный закон от 24.07.2009 N 213-ФЗ;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налог на добычу полезных ископаемых;</w:t>
      </w:r>
    </w:p>
    <w:p>
      <w:pPr>
        <w:spacing w:after="120"/>
        <w:ind w:firstLine="709"/>
      </w:pPr>
      <w:r>
        <w:rPr>
          <w:sz w:val="24"/>
        </w:rPr>
        <w:t xml:space="preserve">платежи за пользование природными ресурсами;</w:t>
      </w:r>
    </w:p>
    <w:p>
      <w:pPr>
        <w:spacing w:after="120"/>
        <w:ind w:firstLine="709"/>
      </w:pPr>
      <w:r>
        <w:rPr>
          <w:sz w:val="24"/>
        </w:rPr>
        <w:t xml:space="preserve">плату за негативное воздействие на окружающую среду;</w:t>
      </w:r>
    </w:p>
    <w:p>
      <w:pPr>
        <w:spacing w:after="120"/>
        <w:ind w:firstLine="709"/>
      </w:pPr>
      <w:r>
        <w:rPr>
          <w:sz w:val="24"/>
        </w:rPr>
        <w:t xml:space="preserve">водный налог;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31.12.2005 N 205-ФЗ)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государственную пошлину;</w:t>
      </w:r>
    </w:p>
    <w:p>
      <w:pPr>
        <w:spacing w:after="120"/>
        <w:ind w:firstLine="709"/>
      </w:pPr>
      <w:r>
        <w:rPr>
          <w:sz w:val="24"/>
        </w:rPr>
        <w:t xml:space="preserve">таможенные сборы;</w:t>
      </w:r>
    </w:p>
    <w:p>
      <w:pPr>
        <w:spacing w:after="120"/>
        <w:ind w:firstLine="709"/>
      </w:pPr>
      <w:r>
        <w:rPr>
          <w:sz w:val="24"/>
        </w:rPr>
        <w:t xml:space="preserve">земельный налог;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Упомянутый в нижеследующем абзаце п. 2 ст. 181 утратил силу с 01.01.2004.</w:t>
      </w:r>
    </w:p>
    <w:p>
      <w:pPr>
        <w:spacing w:after="120"/>
        <w:ind w:firstLine="709"/>
      </w:pPr>
      <w:r>
        <w:rPr>
          <w:sz w:val="24"/>
        </w:rPr>
        <w:t xml:space="preserve">акциз, за исключением акциза на подакцизное минеральное сырье, предусмотренное подпунктом 1 пункта 2 статьи 181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Инвестор освобождается от уплаты региональных и местных налогов и сборов в соответствии с настоящей главой по решению соответствующего законодательного (представительного) органа государственной власти или представительного органа местного самоуправления.</w:t>
      </w:r>
    </w:p>
    <w:p>
      <w:pPr>
        <w:spacing w:after="120"/>
        <w:ind w:firstLine="709"/>
      </w:pPr>
      <w:r>
        <w:rPr>
          <w:sz w:val="24"/>
        </w:rPr>
        <w:t xml:space="preserve">Суммы уплаченных инвестором налога на добавленную стоимость, платежей за пользование природными ресурсами, водного налога, государственной пошлины, таможенных сборов, земельного налога, акциза, а также суммы платы за негативное воздействие на окружающую среду подлежат возмещению в соответствии с положениями настоящей главы.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31.12.2005 N 205-ФЗ , от 24.07.2009 N 213-ФЗ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Инвестор не уплачивает налог на имущество организаций в отношении основных средств, нематериальных активов, запасов и затрат, которые находятся на балансе налогоплательщика и используются исключительно для осуществления деятельности, предусмотренной соглашениями. В случае, если указанное имущество используется инвестором не для целей, связанных с выполнением работ по соглашению, оно облагается налогом на имущество организаций в общеустановленном порядке .</w:t>
      </w:r>
    </w:p>
    <w:p>
      <w:pPr>
        <w:spacing w:after="120"/>
        <w:ind w:firstLine="709"/>
      </w:pPr>
      <w:r>
        <w:rPr>
          <w:sz w:val="24"/>
        </w:rPr>
        <w:t xml:space="preserve">Перечень документов, при предоставлении которых в налоговые органы осуществляется освобождение от уплаты указанного налога, определяется Правительством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Инвестор не уплачивает транспортный налог в отношении принадлежащих ему транспортных средств (за исключением легковых автомобилей), используемых исключительно для целей соглашения.</w:t>
      </w:r>
    </w:p>
    <w:p>
      <w:pPr>
        <w:spacing w:after="120"/>
        <w:ind w:firstLine="709"/>
      </w:pPr>
      <w:r>
        <w:rPr>
          <w:sz w:val="24"/>
        </w:rPr>
        <w:t xml:space="preserve">Перечень документов, при предоставлении которых в налоговые органы осуществляется освобождение от уплаты указанного налога, определяется Правительством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При использовании транспортных средств не для целей соглашения уплата транспортного налога осуществляется в общеустановленном порядке .</w:t>
      </w:r>
    </w:p>
    <w:p>
      <w:pPr>
        <w:spacing w:after="120"/>
        <w:ind w:firstLine="709"/>
      </w:pPr>
      <w:r>
        <w:rPr>
          <w:sz w:val="24"/>
        </w:rPr>
        <w:t xml:space="preserve">8. При выполнении соглашения, предусматривающего условия раздела произведенной продукции в соответствии с пунктом 2 статьи 8 Федерального закона "О соглашениях о разделе продукции", инвестор уплачивает следующие налоги и сборы:</w:t>
      </w:r>
    </w:p>
    <w:p>
      <w:pPr>
        <w:spacing w:after="120"/>
        <w:ind w:firstLine="709"/>
      </w:pPr>
      <w:r>
        <w:rPr>
          <w:sz w:val="24"/>
        </w:rPr>
        <w:t xml:space="preserve">абзац утратил силу с 1 января 2010 года. - Федеральный закон от 24.07.2009 N 213-ФЗ;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государственную пошлину;</w:t>
      </w:r>
    </w:p>
    <w:p>
      <w:pPr>
        <w:spacing w:after="120"/>
        <w:ind w:firstLine="709"/>
      </w:pPr>
      <w:r>
        <w:rPr>
          <w:sz w:val="24"/>
        </w:rPr>
        <w:t xml:space="preserve">таможенные сборы;</w:t>
      </w:r>
    </w:p>
    <w:p>
      <w:pPr>
        <w:spacing w:after="120"/>
        <w:ind w:firstLine="709"/>
      </w:pPr>
      <w:r>
        <w:rPr>
          <w:sz w:val="24"/>
        </w:rPr>
        <w:t xml:space="preserve">налог на добавленную стоимость;</w:t>
      </w:r>
    </w:p>
    <w:p>
      <w:pPr>
        <w:spacing w:after="120"/>
        <w:ind w:firstLine="709"/>
      </w:pPr>
      <w:r>
        <w:rPr>
          <w:sz w:val="24"/>
        </w:rPr>
        <w:t xml:space="preserve">плату за негативное воздействие на окружающую среду.</w:t>
      </w:r>
    </w:p>
    <w:p>
      <w:pPr>
        <w:spacing w:after="120"/>
        <w:ind w:firstLine="709"/>
      </w:pPr>
      <w:r>
        <w:rPr>
          <w:sz w:val="24"/>
        </w:rPr>
        <w:t xml:space="preserve">Инвестор освобождается от уплаты региональных и местных налогов и сборов в соответствии с настоящей главой по решению соответствующего законодательного (представительного) органа государственной власти или представительного органа местного самоуправления.</w:t>
      </w:r>
    </w:p>
    <w:p>
      <w:pPr>
        <w:spacing w:after="120"/>
        <w:ind w:firstLine="709"/>
      </w:pPr>
      <w:r>
        <w:rPr>
          <w:sz w:val="24"/>
        </w:rPr>
        <w:t xml:space="preserve">9. От уплаты таможенной пошлины освобождаются товары, ввозимые на территорию Российской Федерации и иные территории, находящиеся под ее юрисдикцией, для выполнения работ по соглашению, предусмотренных программами работ и сметами расходов, утвержденными в установленном соглашением порядке, а также продукция, произведенная в соответствии с условиями соглашения и вывозимая с территории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27.11.2010 N 306-ФЗ)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Перечень документов, при предоставлении которых в таможенные органы осуществляется освобождение от уплаты указанного налога, определяется Правительством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10. При выполнении соглашения объект налогообложения, налоговая база, налоговый период, налоговая ставка и порядок исчисления налога в отношении налогов, указанных в пунктах 7 и 8 настоящей статьи, определяются с учетом особенностей, предусмотренных положениями настоящей главы, действующими на дату вступления соглашения в силу.</w:t>
      </w:r>
    </w:p>
    <w:p>
      <w:pPr>
        <w:spacing w:after="120"/>
        <w:ind w:firstLine="709"/>
      </w:pPr>
      <w:r>
        <w:rPr>
          <w:sz w:val="24"/>
        </w:rPr>
        <w:t xml:space="preserve">11. При изменении в течение срока действия соглашения наименований каких-либо из указанных в настоящем Кодексе налогов и сборов без изменения при этом элементов налогообложения такие налоги и сборы исчисляются и уплачиваются при выполнении соглашения с новым наименованием.</w:t>
      </w:r>
    </w:p>
    <w:p>
      <w:pPr>
        <w:spacing w:after="120"/>
        <w:ind w:firstLine="709"/>
      </w:pPr>
      <w:r>
        <w:rPr>
          <w:sz w:val="24"/>
        </w:rPr>
        <w:t xml:space="preserve">12. В случае изменения в течение срока действия соглашения порядка уплаты налогов и сборов, а также изменения форм, порядка заполнения и сроков представления налоговых деклараций без изменения налоговой базы, налоговой ставки и порядка исчисления налога (элементов обложения сбора) уплата налогов и сборов, а также представление налоговых деклараций производятся в соответствии с действующим законодательством о налогах и сборах.</w:t>
      </w:r>
    </w:p>
    <w:p>
      <w:pPr>
        <w:spacing w:after="120"/>
        <w:ind w:firstLine="709"/>
      </w:pPr>
      <w:r>
        <w:rPr>
          <w:sz w:val="24"/>
        </w:rPr>
        <w:t xml:space="preserve">13. В случае изменения в течение срока действия соглашения налоговой ставки налога на добавленную стоимость исчисление и уплата указанного налога осуществляются по налоговой ставке, установленной в соответствии с главой 21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14. В случае, если нормативными правовыми актами законодательных (представительных) органов государственной власти и представительных органов местного самоуправления не предусмотрено освобождение инвестора от уплаты региональных и местных налогов и сборов, затраты инвестора по уплате указанных налогов и сборов подлежат возмещению инвестору за счет соответствующего уменьшения доли произведенной продукции, передаваемой государству, в части, передаваемой соответствующему субъекту Российской Федерации, на величину, эквивалентную сумме фактически уплаченных указанных налогов и сборов.</w:t>
      </w:r>
    </w:p>
    <w:p>
      <w:pPr>
        <w:spacing w:after="120"/>
        <w:ind w:firstLine="709"/>
      </w:pPr>
      <w:r>
        <w:rPr>
          <w:sz w:val="24"/>
        </w:rPr>
        <w:t xml:space="preserve">15. При выполнении соглашений, заключенных до вступления в силу Федерального закона "О соглашениях о разделе продукции", применяются условия освобождения от уплаты налогов, сборов и иных обязательных платежей, а также порядок исчисления, уплаты и возврата (возмещения) уплачиваемых налогов, сборов и иных обязательных платежей, которые предусмотрены указанными соглашениями. В случае несоответствия положений настоящего Кодекса и (или) иных актов законодательства Российской Федерации о налогах и сборах, актов законодательства субъектов Российской Федерации о налогах и сборах, нормативных правовых актов представительных органов местного самоуправления о налогах и сборах условиям указанных соглашений применяются условия таких соглашений.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346.35</dc:title>
  <dc:creator>АРБИТРАЖ! · arbi.ru</dc:creator>
  <cp:lastModifiedBy>АРБИТРАЖ!</cp:lastModifiedBy>
  <dcterms:created xsi:type="dcterms:W3CDTF">2026-10-22T22:01:21.402Z</dcterms:created>
</cp:coreProperties>
</file>