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346.42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26.4. Система налогообложения при выполнении соглашений о разделе продукции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Выездной налоговой проверкой может быть охвачен любой период в течение срока действия соглашения с учетом положений статьи 87 настоящего Кодекса начиная с года вступления соглашения в силу.</w:t>
      </w:r>
    </w:p>
    <w:p>
      <w:pPr>
        <w:spacing w:after="120"/>
        <w:ind w:firstLine="709"/>
      </w:pPr>
      <w:r>
        <w:rPr>
          <w:sz w:val="24"/>
        </w:rPr>
        <w:t xml:space="preserve">2. Для целей налогового контроля инвестор по соглашению или оператор соглашения обязан хранить первичные документы, связанные с исчислением и уплатой налогов, в течение всего срока действия соглашения.</w:t>
      </w:r>
    </w:p>
    <w:p>
      <w:pPr>
        <w:spacing w:after="120"/>
        <w:ind w:firstLine="709"/>
      </w:pPr>
      <w:r>
        <w:rPr>
          <w:sz w:val="24"/>
        </w:rPr>
        <w:t xml:space="preserve">3. Выездная налоговая проверка инвестора по соглашению или оператора соглашения в связи с деятельностью по соглашению не может продолжаться более шести месяцев. При проведении выездных проверок организаций, имеющих филиалы и представительства, срок проведения проверки увеличивается на один месяц для проведения проверки каждого филиала и представительства.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346.42</dc:title>
  <dc:creator>АРБИТРАЖ! · arbi.ru</dc:creator>
  <cp:lastModifiedBy>АРБИТРАЖ!</cp:lastModifiedBy>
  <dcterms:created xsi:type="dcterms:W3CDTF">2026-10-22T21:56:36.301Z</dcterms:created>
</cp:coreProperties>
</file>