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26.4. Система налогообложения при выполнении соглашений о разделе продукции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Налогоплательщики подлежат постановке на учет в налоговом органе по местонахождению участка недр, предоставленного инвестору в пользование на условиях соглашения, за исключением случаев, предусмотренных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качестве инвестора по соглашению выступает объединение организаций, не имеющее статуса юридического лица, постановке на учет в налоговом органе по местонахождению участка недр, предоставляемого в пользование на условиях соглашения, подлежат все организации, входящие в состав указанного объединения, за исключением случаев, предусмотренных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Если участок недр, предоставляемый в пользование на условиях соглашения, расположен на континентальном шельфе Российской Федерации и (или) в пределах исключительной экономической зоны Российской Федерации, постановка налогоплательщика на учет производится в налоговом органе по его местонахождению.</w:t>
      </w:r>
    </w:p>
    <w:p>
      <w:pPr>
        <w:spacing w:after="120"/>
        <w:ind w:firstLine="709"/>
      </w:pPr>
      <w:r>
        <w:rPr>
          <w:sz w:val="24"/>
        </w:rPr>
        <w:t xml:space="preserve">4. Особенности учета иностранных организаций, выступающих в качестве инвестора по соглашению или оператора соглашения, устанавливаются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Заявление о постановке на учет в налоговом органе подается в налоговые органы в соответствии с пунктами 1 и 3 настоящей статьи в течение 10 дней с даты вступления соответствующего соглашения в силу.</w:t>
      </w:r>
    </w:p>
    <w:p>
      <w:pPr>
        <w:spacing w:after="120"/>
        <w:ind w:firstLine="709"/>
      </w:pPr>
      <w:r>
        <w:rPr>
          <w:sz w:val="24"/>
        </w:rPr>
        <w:t xml:space="preserve">6. Форма заявления о постановке на учет в налоговом органе устанавливается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29.07.2004 N 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 подаче заявления о постановке на учет в налоговом органе налогоплательщик одновременно с указанным заявлением представляет наряду с документами, указанными в статье 84 настоящего Кодекса, документы, предусмотренные пунктом 2 статьи 346.35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Утратил силу с 1 января 2026 года. - Федеральный закон от 08.08.2024 N 259-ФЗ.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346.41</dc:title>
  <dc:creator>АРБИТРАЖ! · arbi.ru</dc:creator>
  <cp:lastModifiedBy>АРБИТРАЖ!</cp:lastModifiedBy>
  <dcterms:created xsi:type="dcterms:W3CDTF">2026-10-22T13:14:54.154Z</dcterms:created>
</cp:coreProperties>
</file>