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Налогоплательщики в целях подпункта 1 пункта 6 статьи 346.45 настоящего Кодекса ведут учет доходов от реализации, полученных при осуществлении видов предпринимательской деятельности, в отношении которых применяется патентная система налогообложения, в книге учета доходов индивидуального предпринимателя, применяющего патентную систему налогообложения, форма и порядок заполнения которой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дата получения дохода определяется как день:</w:t>
      </w:r>
    </w:p>
    <w:p>
      <w:pPr>
        <w:spacing w:after="120"/>
        <w:ind w:firstLine="709"/>
      </w:pPr>
      <w:r>
        <w:rPr>
          <w:sz w:val="24"/>
        </w:rPr>
        <w:t xml:space="preserve">1) выплаты дохода, в том числе перечисления дохода на счета налогоплательщика в банках либо по его поручению на счета третьих лиц, - при получении дохода в денежной форме;</w:t>
      </w:r>
    </w:p>
    <w:p>
      <w:pPr>
        <w:spacing w:after="120"/>
        <w:ind w:firstLine="709"/>
      </w:pPr>
      <w:r>
        <w:rPr>
          <w:sz w:val="24"/>
        </w:rPr>
        <w:t xml:space="preserve">2) передачи дохода в натуральной форме - при получении дохода в натуральной форме;</w:t>
      </w:r>
    </w:p>
    <w:p>
      <w:pPr>
        <w:spacing w:after="120"/>
        <w:ind w:firstLine="709"/>
      </w:pPr>
      <w:r>
        <w:rPr>
          <w:sz w:val="24"/>
        </w:rPr>
        <w:t xml:space="preserve">3) получения иного имущества (работ, услуг) и (или) имущественных прав, а также погашения задолженности (оплаты) налогоплательщику иным способом.</w:t>
      </w:r>
    </w:p>
    <w:p>
      <w:pPr>
        <w:spacing w:after="120"/>
        <w:ind w:firstLine="709"/>
      </w:pPr>
      <w:r>
        <w:rPr>
          <w:sz w:val="24"/>
        </w:rPr>
        <w:t xml:space="preserve">3. При использовании покупателем в расчетах за приобретенные им товары (работы, услуги), имущественные права векселя датой получения дохода у налогоплательщика признается дата оплаты векселя (день поступления денежных средств от векселедателя либо иного обязанного по указанному векселю лица) или день передачи налогоплательщиком указанного векселя по индоссаменту третьему лицу.</w:t>
      </w:r>
    </w:p>
    <w:p>
      <w:pPr>
        <w:spacing w:after="120"/>
        <w:ind w:firstLine="709"/>
      </w:pPr>
      <w:r>
        <w:rPr>
          <w:sz w:val="24"/>
        </w:rPr>
        <w:t xml:space="preserve">4. В случае возврата налогоплательщиком сумм, ранее полученных в счет предварительной оплаты поставки товаров, выполнения работ, оказания услуг, передачи имущественных прав, на сумму возврата уменьшаются доходы того налогового периода , в котором произведен возврат.</w:t>
      </w:r>
    </w:p>
    <w:p>
      <w:pPr>
        <w:spacing w:after="120"/>
        <w:ind w:firstLine="709"/>
      </w:pPr>
      <w:r>
        <w:rPr>
          <w:sz w:val="24"/>
        </w:rPr>
        <w:t xml:space="preserve">5. Доходы, выраженные в иностранной валюте, учитываются в совокупности с доходами, выраженными в рублях. При этом доходы, выраженные в иностранной валюте, пересчитываются в рубли по официальному курсу Центрального банка Российской Федерации, установленному на дату получения доходов.</w:t>
      </w:r>
    </w:p>
    <w:p>
      <w:pPr>
        <w:spacing w:after="120"/>
        <w:ind w:firstLine="709"/>
      </w:pPr>
      <w:r>
        <w:rPr>
          <w:sz w:val="24"/>
        </w:rPr>
        <w:t xml:space="preserve">Доходы, полученные в натуральной форме, учитываются по рыночным ценам, определяемым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Если индивидуальный предприниматель применяет патентную систему налогообложения и осуществляет иные виды предпринимательской деятельности, в отношении которых им применяется иной режим налогообложения, он обязан вести учет имущества, обязательств и хозяйственных операций в соответствии с порядком, установленным в рамках соответствующего режима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346.53</dc:title>
  <dc:creator>АРБИТРАЖ! · arbi.ru</dc:creator>
  <cp:lastModifiedBy>АРБИТРАЖ!</cp:lastModifiedBy>
  <dcterms:created xsi:type="dcterms:W3CDTF">2026-10-22T22:05:35.744Z</dcterms:created>
</cp:coreProperties>
</file>