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359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 Транспортный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Налоговая база определяется:</w:t>
      </w:r>
    </w:p>
    <w:p>
      <w:pPr>
        <w:spacing w:after="120"/>
        <w:ind w:firstLine="709"/>
      </w:pPr>
      <w:r>
        <w:rPr>
          <w:sz w:val="24"/>
        </w:rPr>
        <w:t xml:space="preserve">1) в отношении транспортных средств, имеющих двигатели (за исключением транспортных средств, указанных в подпункте 1.1 настоящего пункта), - как мощность двигателя транспортного средства в лошадиных силах;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20.08.2004 N 108-ФЗ)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в отношении воздушных транспортных средств, для которых определяется тяга реактивного двигателя, - как паспортная статическая тяга реактивного двигателя (суммарная паспортная статическая тяга всех реактивных двигателей) воздушного транспортного средства на взлетном режиме в земных условиях в килограммах силы;</w:t>
      </w:r>
    </w:p>
    <w:p>
      <w:pPr>
        <w:spacing w:after="120"/>
        <w:ind w:firstLine="709"/>
      </w:pPr>
      <w:r>
        <w:rPr>
          <w:sz w:val="24"/>
        </w:rPr>
        <w:t xml:space="preserve">(пп. 1.1 введен Федеральным законом от 20.08.2004 N 108-ФЗ)</w:t>
      </w:r>
    </w:p>
    <w:p>
      <w:pPr>
        <w:spacing w:after="120"/>
        <w:ind w:firstLine="709"/>
      </w:pPr>
      <w:r>
        <w:rPr>
          <w:sz w:val="24"/>
        </w:rPr>
        <w:t xml:space="preserve">2) в отношении водных несамоходных (буксируемых) транспортных средств, для которых определяется валовая вместимость, - как валовая вместимость;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отношении водных и воздушных транспортных средств, не указанных в подпунктах 1 , 1.1 и 2 настоящего пункта, - как единица транспортного средства.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20.08.2004 N 108-ФЗ)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отношении транспортных средств, указанных в подпунктах 1 , 1.1 и 2 пункта 1 настоящей статьи, налоговая база определяется отдельно по каждому транспортному средству.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20.08.2004 N 108-ФЗ)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транспортных средств, указанных в подпункте 3 пункта 1 настоящей статьи, налоговая база определяется отдельно.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359</dc:title>
  <dc:creator>АРБИТРАЖ! · arbi.ru</dc:creator>
  <cp:lastModifiedBy>АРБИТРАЖ!</cp:lastModifiedBy>
  <dcterms:created xsi:type="dcterms:W3CDTF">2026-10-22T19:06:20.837Z</dcterms:created>
</cp:coreProperties>
</file>