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361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 Транспортный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361 НК РФ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требует пересчитать транспортный налог, ссылаясь на неправильное определение налоговым органом категории (типа) ТС</w:t>
      </w:r>
    </w:p>
    <w:p>
      <w:pPr>
        <w:spacing w:after="120"/>
        <w:ind w:firstLine="709"/>
      </w:pPr>
      <w:r>
        <w:rPr>
          <w:sz w:val="24"/>
        </w:rPr>
        <w:t xml:space="preserve">1. Налоговые ставки устанавливаются законами субъектов Российской Федерации соответственно в зависимости от мощности двигателя,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средства, один килограмм силы тяги реактивного двигателя, одну регистровую тонну, одну единицу валовой вместимости транспортного средства или одну единицу транспортного средства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Наименование объекта налогообложения</w:t>
      </w:r>
    </w:p>
    <w:p>
      <w:pPr>
        <w:spacing w:after="120"/>
        <w:ind w:firstLine="709"/>
      </w:pPr>
      <w:r>
        <w:rPr>
          <w:sz w:val="24"/>
        </w:rPr>
        <w:t xml:space="preserve">Налоговая ставка (в рублях)</w:t>
      </w:r>
    </w:p>
    <w:p>
      <w:pPr>
        <w:spacing w:after="120"/>
        <w:ind w:firstLine="709"/>
      </w:pPr>
      <w:r>
        <w:rPr>
          <w:sz w:val="24"/>
        </w:rPr>
        <w:t xml:space="preserve">Автомобили легковые с мощностью двигателя (с каждой лошадиной силы):</w:t>
      </w:r>
    </w:p>
    <w:p>
      <w:pPr>
        <w:spacing w:after="120"/>
        <w:ind w:firstLine="709"/>
      </w:pPr>
      <w:r>
        <w:rPr>
          <w:sz w:val="24"/>
        </w:rPr>
        <w:t xml:space="preserve">до 100 л.с. (до 73,55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2,5</w:t>
      </w:r>
    </w:p>
    <w:p>
      <w:pPr>
        <w:spacing w:after="120"/>
        <w:ind w:firstLine="709"/>
      </w:pPr>
      <w:r>
        <w:rPr>
          <w:sz w:val="24"/>
        </w:rPr>
        <w:t xml:space="preserve">свыше 100 л.с. до 150 л.с. (свыше 73,55 кВт до 110,33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3,5</w:t>
      </w:r>
    </w:p>
    <w:p>
      <w:pPr>
        <w:spacing w:after="120"/>
        <w:ind w:firstLine="709"/>
      </w:pPr>
      <w:r>
        <w:rPr>
          <w:sz w:val="24"/>
        </w:rPr>
        <w:t xml:space="preserve">свыше 150 л.с. до 200 л.с. (свыше 110,33 кВт до 147,1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5</w:t>
      </w:r>
    </w:p>
    <w:p>
      <w:pPr>
        <w:spacing w:after="120"/>
        <w:ind w:firstLine="709"/>
      </w:pPr>
      <w:r>
        <w:rPr>
          <w:sz w:val="24"/>
        </w:rPr>
        <w:t xml:space="preserve">свыше 200 л.с. до 250 л.с. (свыше 147,1 кВт до 183,9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7,5</w:t>
      </w:r>
    </w:p>
    <w:p>
      <w:pPr>
        <w:spacing w:after="120"/>
        <w:ind w:firstLine="709"/>
      </w:pPr>
      <w:r>
        <w:rPr>
          <w:sz w:val="24"/>
        </w:rPr>
        <w:t xml:space="preserve">свыше 250 л.с. (свыше 183,9 кВт)</w:t>
      </w:r>
    </w:p>
    <w:p>
      <w:pPr>
        <w:spacing w:after="120"/>
        <w:ind w:firstLine="709"/>
      </w:pPr>
      <w:r>
        <w:rPr>
          <w:sz w:val="24"/>
        </w:rPr>
        <w:t xml:space="preserve">15</w:t>
      </w:r>
    </w:p>
    <w:p>
      <w:pPr>
        <w:spacing w:after="120"/>
        <w:ind w:firstLine="709"/>
      </w:pPr>
      <w:r>
        <w:rPr>
          <w:sz w:val="24"/>
        </w:rPr>
        <w:t xml:space="preserve">Мотоциклы и мотороллеры с мощностью двигателя (с каждой лошадиной силы):</w:t>
      </w:r>
    </w:p>
    <w:p>
      <w:pPr>
        <w:spacing w:after="120"/>
        <w:ind w:firstLine="709"/>
      </w:pPr>
      <w:r>
        <w:rPr>
          <w:sz w:val="24"/>
        </w:rPr>
        <w:t xml:space="preserve">до 20 л.с. (до 14,7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1</w:t>
      </w:r>
    </w:p>
    <w:p>
      <w:pPr>
        <w:spacing w:after="120"/>
        <w:ind w:firstLine="709"/>
      </w:pPr>
      <w:r>
        <w:rPr>
          <w:sz w:val="24"/>
        </w:rPr>
        <w:t xml:space="preserve">свыше 20 л.с. до 35 л.с. (свыше 14,7 кВт до 25,74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2</w:t>
      </w:r>
    </w:p>
    <w:p>
      <w:pPr>
        <w:spacing w:after="120"/>
        <w:ind w:firstLine="709"/>
      </w:pPr>
      <w:r>
        <w:rPr>
          <w:sz w:val="24"/>
        </w:rPr>
        <w:t xml:space="preserve">свыше 35 л.с. (свыше 25,74 кВт)</w:t>
      </w:r>
    </w:p>
    <w:p>
      <w:pPr>
        <w:spacing w:after="120"/>
        <w:ind w:firstLine="709"/>
      </w:pPr>
      <w:r>
        <w:rPr>
          <w:sz w:val="24"/>
        </w:rPr>
        <w:t xml:space="preserve">5</w:t>
      </w:r>
    </w:p>
    <w:p>
      <w:pPr>
        <w:spacing w:after="120"/>
        <w:ind w:firstLine="709"/>
      </w:pPr>
      <w:r>
        <w:rPr>
          <w:sz w:val="24"/>
        </w:rPr>
        <w:t xml:space="preserve">Автобусы с мощностью двигателя (с каждой лошадиной силы):</w:t>
      </w:r>
    </w:p>
    <w:p>
      <w:pPr>
        <w:spacing w:after="120"/>
        <w:ind w:firstLine="709"/>
      </w:pPr>
      <w:r>
        <w:rPr>
          <w:sz w:val="24"/>
        </w:rPr>
        <w:t xml:space="preserve">до 200 л.с. (до 147,1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5</w:t>
      </w:r>
    </w:p>
    <w:p>
      <w:pPr>
        <w:spacing w:after="120"/>
        <w:ind w:firstLine="709"/>
      </w:pPr>
      <w:r>
        <w:rPr>
          <w:sz w:val="24"/>
        </w:rPr>
        <w:t xml:space="preserve">свыше 200 л.с. (свыше 147,1 кВт)</w:t>
      </w:r>
    </w:p>
    <w:p>
      <w:pPr>
        <w:spacing w:after="120"/>
        <w:ind w:firstLine="709"/>
      </w:pPr>
      <w:r>
        <w:rPr>
          <w:sz w:val="24"/>
        </w:rPr>
        <w:t xml:space="preserve">10</w:t>
      </w:r>
    </w:p>
    <w:p>
      <w:pPr>
        <w:spacing w:after="120"/>
        <w:ind w:firstLine="709"/>
      </w:pPr>
      <w:r>
        <w:rPr>
          <w:sz w:val="24"/>
        </w:rPr>
        <w:t xml:space="preserve">Автомобили грузовые с мощностью двигателя (с каждой лошадиной силы):</w:t>
      </w:r>
    </w:p>
    <w:p>
      <w:pPr>
        <w:spacing w:after="120"/>
        <w:ind w:firstLine="709"/>
      </w:pPr>
      <w:r>
        <w:rPr>
          <w:sz w:val="24"/>
        </w:rPr>
        <w:t xml:space="preserve">до 100 л.с. (до 73,55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2,5</w:t>
      </w:r>
    </w:p>
    <w:p>
      <w:pPr>
        <w:spacing w:after="120"/>
        <w:ind w:firstLine="709"/>
      </w:pPr>
      <w:r>
        <w:rPr>
          <w:sz w:val="24"/>
        </w:rPr>
        <w:t xml:space="preserve">свыше 100 л.с. до 150 л.с. (свыше 73,55 кВт до 110,33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4</w:t>
      </w:r>
    </w:p>
    <w:p>
      <w:pPr>
        <w:spacing w:after="120"/>
        <w:ind w:firstLine="709"/>
      </w:pPr>
      <w:r>
        <w:rPr>
          <w:sz w:val="24"/>
        </w:rPr>
        <w:t xml:space="preserve">свыше 150 л.с. до 200 л.с. (свыше 110,33 кВт до 147,1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5</w:t>
      </w:r>
    </w:p>
    <w:p>
      <w:pPr>
        <w:spacing w:after="120"/>
        <w:ind w:firstLine="709"/>
      </w:pPr>
      <w:r>
        <w:rPr>
          <w:sz w:val="24"/>
        </w:rPr>
        <w:t xml:space="preserve">свыше 200 л.с. до 250 л.с. (свыше 147,1 кВт до 183,9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6,5</w:t>
      </w:r>
    </w:p>
    <w:p>
      <w:pPr>
        <w:spacing w:after="120"/>
        <w:ind w:firstLine="709"/>
      </w:pPr>
      <w:r>
        <w:rPr>
          <w:sz w:val="24"/>
        </w:rPr>
        <w:t xml:space="preserve">свыше 250 л.с. (свыше 183,9 кВт)</w:t>
      </w:r>
    </w:p>
    <w:p>
      <w:pPr>
        <w:spacing w:after="120"/>
        <w:ind w:firstLine="709"/>
      </w:pPr>
      <w:r>
        <w:rPr>
          <w:sz w:val="24"/>
        </w:rPr>
        <w:t xml:space="preserve">8,5</w:t>
      </w:r>
    </w:p>
    <w:p>
      <w:pPr>
        <w:spacing w:after="120"/>
        <w:ind w:firstLine="709"/>
      </w:pPr>
      <w:r>
        <w:rPr>
          <w:sz w:val="24"/>
        </w:rPr>
        <w:t xml:space="preserve">Другие самоходные транспортные средства, машины и механизмы на пневматическом и гусеничном ходу (с каждой лошадиной силы)</w:t>
      </w:r>
    </w:p>
    <w:p>
      <w:pPr>
        <w:spacing w:after="120"/>
        <w:ind w:firstLine="709"/>
      </w:pPr>
      <w:r>
        <w:rPr>
          <w:sz w:val="24"/>
        </w:rPr>
        <w:t xml:space="preserve">2,5</w:t>
      </w:r>
    </w:p>
    <w:p>
      <w:pPr>
        <w:spacing w:after="120"/>
        <w:ind w:firstLine="709"/>
      </w:pPr>
      <w:r>
        <w:rPr>
          <w:sz w:val="24"/>
        </w:rPr>
        <w:t xml:space="preserve">Снегоходы, мотосани с мощностью двигателя (с каждой лошадиной силы):</w:t>
      </w:r>
    </w:p>
    <w:p>
      <w:pPr>
        <w:spacing w:after="120"/>
        <w:ind w:firstLine="709"/>
      </w:pPr>
      <w:r>
        <w:rPr>
          <w:sz w:val="24"/>
        </w:rPr>
        <w:t xml:space="preserve">до 50 л.с. (до 36,77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2,5</w:t>
      </w:r>
    </w:p>
    <w:p>
      <w:pPr>
        <w:spacing w:after="120"/>
        <w:ind w:firstLine="709"/>
      </w:pPr>
      <w:r>
        <w:rPr>
          <w:sz w:val="24"/>
        </w:rPr>
        <w:t xml:space="preserve">свыше 50 л.с. (свыше 36,77 кВт)</w:t>
      </w:r>
    </w:p>
    <w:p>
      <w:pPr>
        <w:spacing w:after="120"/>
        <w:ind w:firstLine="709"/>
      </w:pPr>
      <w:r>
        <w:rPr>
          <w:sz w:val="24"/>
        </w:rPr>
        <w:t xml:space="preserve">5</w:t>
      </w:r>
    </w:p>
    <w:p>
      <w:pPr>
        <w:spacing w:after="120"/>
        <w:ind w:firstLine="709"/>
      </w:pPr>
      <w:r>
        <w:rPr>
          <w:sz w:val="24"/>
        </w:rPr>
        <w:t xml:space="preserve">Катера, моторные лодки и другие водные транспортные средства с мощностью двигателя (с каждой лошадиной силы):</w:t>
      </w:r>
    </w:p>
    <w:p>
      <w:pPr>
        <w:spacing w:after="120"/>
        <w:ind w:firstLine="709"/>
      </w:pPr>
      <w:r>
        <w:rPr>
          <w:sz w:val="24"/>
        </w:rPr>
        <w:t xml:space="preserve">до 100 л.с. (до 73,55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10</w:t>
      </w:r>
    </w:p>
    <w:p>
      <w:pPr>
        <w:spacing w:after="120"/>
        <w:ind w:firstLine="709"/>
      </w:pPr>
      <w:r>
        <w:rPr>
          <w:sz w:val="24"/>
        </w:rPr>
        <w:t xml:space="preserve">свыше 100 л.с. (свыше 73,55 кВт)</w:t>
      </w:r>
    </w:p>
    <w:p>
      <w:pPr>
        <w:spacing w:after="120"/>
        <w:ind w:firstLine="709"/>
      </w:pPr>
      <w:r>
        <w:rPr>
          <w:sz w:val="24"/>
        </w:rPr>
        <w:t xml:space="preserve">20</w:t>
      </w:r>
    </w:p>
    <w:p>
      <w:pPr>
        <w:spacing w:after="120"/>
        <w:ind w:firstLine="709"/>
      </w:pPr>
      <w:r>
        <w:rPr>
          <w:sz w:val="24"/>
        </w:rPr>
        <w:t xml:space="preserve">Яхты и другие парусно-моторные суда с мощностью двигателя (с каждой лошадиной силы):</w:t>
      </w:r>
    </w:p>
    <w:p>
      <w:pPr>
        <w:spacing w:after="120"/>
        <w:ind w:firstLine="709"/>
      </w:pPr>
      <w:r>
        <w:rPr>
          <w:sz w:val="24"/>
        </w:rPr>
        <w:t xml:space="preserve">до 100 л.с. (до 73,55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20</w:t>
      </w:r>
    </w:p>
    <w:p>
      <w:pPr>
        <w:spacing w:after="120"/>
        <w:ind w:firstLine="709"/>
      </w:pPr>
      <w:r>
        <w:rPr>
          <w:sz w:val="24"/>
        </w:rPr>
        <w:t xml:space="preserve">свыше 100 л.с. (свыше 73,55 кВт)</w:t>
      </w:r>
    </w:p>
    <w:p>
      <w:pPr>
        <w:spacing w:after="120"/>
        <w:ind w:firstLine="709"/>
      </w:pPr>
      <w:r>
        <w:rPr>
          <w:sz w:val="24"/>
        </w:rPr>
        <w:t xml:space="preserve">40</w:t>
      </w:r>
    </w:p>
    <w:p>
      <w:pPr>
        <w:spacing w:after="120"/>
        <w:ind w:firstLine="709"/>
      </w:pPr>
      <w:r>
        <w:rPr>
          <w:sz w:val="24"/>
        </w:rPr>
        <w:t xml:space="preserve">Гидроциклы с мощностью двигателя (с каждой лошадиной силы):</w:t>
      </w:r>
    </w:p>
    <w:p>
      <w:pPr>
        <w:spacing w:after="120"/>
        <w:ind w:firstLine="709"/>
      </w:pPr>
      <w:r>
        <w:rPr>
          <w:sz w:val="24"/>
        </w:rPr>
        <w:t xml:space="preserve">до 100 л.с. (до 73,55 кВт) включительно</w:t>
      </w:r>
    </w:p>
    <w:p>
      <w:pPr>
        <w:spacing w:after="120"/>
        <w:ind w:firstLine="709"/>
      </w:pPr>
      <w:r>
        <w:rPr>
          <w:sz w:val="24"/>
        </w:rPr>
        <w:t xml:space="preserve">25</w:t>
      </w:r>
    </w:p>
    <w:p>
      <w:pPr>
        <w:spacing w:after="120"/>
        <w:ind w:firstLine="709"/>
      </w:pPr>
      <w:r>
        <w:rPr>
          <w:sz w:val="24"/>
        </w:rPr>
        <w:t xml:space="preserve">свыше 100 л.с. (свыше 73,55 кВт)</w:t>
      </w:r>
    </w:p>
    <w:p>
      <w:pPr>
        <w:spacing w:after="120"/>
        <w:ind w:firstLine="709"/>
      </w:pPr>
      <w:r>
        <w:rPr>
          <w:sz w:val="24"/>
        </w:rPr>
        <w:t xml:space="preserve">50</w:t>
      </w:r>
    </w:p>
    <w:p>
      <w:pPr>
        <w:spacing w:after="120"/>
        <w:ind w:firstLine="709"/>
      </w:pPr>
      <w:r>
        <w:rPr>
          <w:sz w:val="24"/>
        </w:rPr>
        <w:t xml:space="preserve">Несамоходные (буксируемые) суда, для которых определяется валовая вместимость (с каждой регистровой тонны или единицы валовой вместимости в случае, если валовая вместимость определена без указания размерности)</w:t>
      </w:r>
    </w:p>
    <w:p>
      <w:pPr>
        <w:spacing w:after="120"/>
        <w:ind w:firstLine="709"/>
      </w:pPr>
      <w:r>
        <w:rPr>
          <w:sz w:val="24"/>
        </w:rPr>
        <w:t xml:space="preserve">20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Самолеты, вертолеты и иные воздушные суда, имеющие двигатели (с каждой лошадиной силы)</w:t>
      </w:r>
    </w:p>
    <w:p>
      <w:pPr>
        <w:spacing w:after="120"/>
        <w:ind w:firstLine="709"/>
      </w:pPr>
      <w:r>
        <w:rPr>
          <w:sz w:val="24"/>
        </w:rPr>
        <w:t xml:space="preserve">25</w:t>
      </w:r>
    </w:p>
    <w:p>
      <w:pPr>
        <w:spacing w:after="120"/>
        <w:ind w:firstLine="709"/>
      </w:pPr>
      <w:r>
        <w:rPr>
          <w:sz w:val="24"/>
        </w:rPr>
        <w:t xml:space="preserve">Самолеты, имеющие реактивные двигатели (с каждого килограмма силы тяги)</w:t>
      </w:r>
    </w:p>
    <w:p>
      <w:pPr>
        <w:spacing w:after="120"/>
        <w:ind w:firstLine="709"/>
      </w:pPr>
      <w:r>
        <w:rPr>
          <w:sz w:val="24"/>
        </w:rPr>
        <w:t xml:space="preserve">20</w:t>
      </w:r>
    </w:p>
    <w:p>
      <w:pPr>
        <w:spacing w:after="120"/>
        <w:ind w:firstLine="709"/>
      </w:pPr>
      <w:r>
        <w:rPr>
          <w:sz w:val="24"/>
        </w:rPr>
        <w:t xml:space="preserve">Другие водные и воздушные транспортные средства, не имеющие двигателей (с единицы транспортного средства)</w:t>
      </w:r>
    </w:p>
    <w:p>
      <w:pPr>
        <w:spacing w:after="120"/>
        <w:ind w:firstLine="709"/>
      </w:pPr>
      <w:r>
        <w:rPr>
          <w:sz w:val="24"/>
        </w:rPr>
        <w:t xml:space="preserve">200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27.11.2010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Налоговые ставки, указанные в пункте 1 настоящей статьи, могут быть увеличены (уменьшены) законами субъектов Российской Федерации, но не более чем в десять раз.</w:t>
      </w:r>
    </w:p>
    <w:p>
      <w:pPr>
        <w:spacing w:after="120"/>
        <w:ind w:firstLine="709"/>
      </w:pPr>
      <w:r>
        <w:rPr>
          <w:sz w:val="24"/>
        </w:rPr>
        <w:t xml:space="preserve">Указанное ограничение размера уменьшения налоговых ставок законами субъектов Российской Федерации не применяется в отношении автомобилей легковых с мощностью двигателя (с каждой лошадиной силы) до 150 л.с. (до 110,33 кВт) включительно.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27.11.2010 N 307-ФЗ)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28.11.2009 N 282-ФЗ)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Допускается установление дифференцированных налоговых ставок в отношении каждой категории транспортных средств, а также с учетом количества лет, прошедших с года выпуска транспортных средств, и (или) их экологического класса.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28.11.2009 N 282-ФЗ)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Количество лет, прошедших с года выпуска транспортного средства, определяется по состоянию на 1 января текущего года в календарных годах с года, следующего за годом выпуска транспортного средства.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28.11.2009 N 282-ФЗ)</w:t>
      </w:r>
    </w:p>
    <w:p>
      <w:pPr>
        <w:spacing w:after="120"/>
        <w:ind w:firstLine="709"/>
      </w:pPr>
      <w:r>
        <w:rPr>
          <w:sz w:val="24"/>
        </w:rPr>
        <w:t xml:space="preserve">4. В случае, если налоговые ставки не определены законами субъектов Российской Федерации, налогообложение производится по налоговым ставкам, указанным в пункте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29.11.2012 N 202-ФЗ)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361</dc:title>
  <dc:creator>АРБИТРАЖ! · arbi.ru</dc:creator>
  <cp:lastModifiedBy>АРБИТРАЖ!</cp:lastModifiedBy>
  <dcterms:created xsi:type="dcterms:W3CDTF">2026-10-22T22:35:17.552Z</dcterms:created>
</cp:coreProperties>
</file>