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374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не признал имущество движимым и доначислил налог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признал объект (недвижимость) основным средством и доначислил налог на имущество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на имущество, переведенное из состава основных средств в товары</w:t>
      </w:r>
    </w:p>
    <w:p>
      <w:pPr>
        <w:spacing w:after="120"/>
        <w:ind w:firstLine="709"/>
      </w:pPr>
      <w:r>
        <w:rPr>
          <w:sz w:val="24"/>
        </w:rPr>
        <w:t xml:space="preserve">1. Объектами налогообложения признаются:</w:t>
      </w:r>
    </w:p>
    <w:p>
      <w:pPr>
        <w:spacing w:after="120"/>
        <w:ind w:firstLine="709"/>
      </w:pPr>
      <w:r>
        <w:rPr>
          <w:sz w:val="24"/>
        </w:rPr>
        <w:t xml:space="preserve">1) недвижимое имущество (в том числе имущество, переданное во временное владение, в пользование, распоряжение, доверительное управление, внесенное в совместную деятельность или полученное по концессионному соглашению), учитываемое на балансе организации в качестве объектов основных средств в порядке , установленном для ведения бухгалтерского учета, в случае, если налоговая база в отношении такого имущества определяется в соответствии с пунктом 1 статьи 375 настоящего Кодекса, если иное не предусмотрено статьями 378 и 378.1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иностранные организации, осуществляющие деятельность в Российской Федерации через постоянные представительства, ведут учет объектов налогообложения в порядке, установленном в Российской Федерации для ведения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2) недвижимое имущество, находящееся на территории Российской Федерации и принадлежащее организациям на праве собственности или праве хозяйственного ведения, а также полученное по концессионному соглашению, в случае, если налоговая база в отношении такого имущества определяется в соответствии с пунктом 2 статьи 375 настоящего Кодекса, если иное не предусмотрено статьями 378 и 378.1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 с 1 января 2020 года.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 признаются объектами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земельные участки и иные объекты природопользования ( водные объекты и другие природные ресурсы );</w:t>
      </w:r>
    </w:p>
    <w:p>
      <w:pPr>
        <w:spacing w:after="120"/>
        <w:ind w:firstLine="709"/>
      </w:pPr>
      <w:r>
        <w:rPr>
          <w:sz w:val="24"/>
        </w:rPr>
        <w:t xml:space="preserve">2) имущество, принадлежащее на праве оперативного управления федеральным органам исполнительной власти и федеральным государственным органам, в которых законодательством Российской Федерации предусмотрена военная и (или) приравненная к ней служба, используемое этими органами для нужд обороны, гражданской обороны, обеспечения безопасности и охраны правопорядка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28.11.2009 N 283-ФЗ , от 04.06.2014 N 145-ФЗ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объекты , признаваемые объектами культурного наследия (памятниками истории и культуры) народов Российской Федерации федерального значения в установленном законодательством Российской Федерации порядке 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29.11.2012 N 202-ФЗ)</w:t>
      </w:r>
    </w:p>
    <w:p>
      <w:pPr>
        <w:spacing w:after="120"/>
        <w:ind w:firstLine="709"/>
      </w:pPr>
      <w:r>
        <w:rPr>
          <w:sz w:val="24"/>
        </w:rPr>
        <w:t xml:space="preserve">4) ядерные установки, используемые для научных целей, пункты хранения ядерных материалов и радиоактивных веществ и хранилища радиоактивных отходов;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29.11.2012 N 202-ФЗ)</w:t>
      </w:r>
    </w:p>
    <w:p>
      <w:pPr>
        <w:spacing w:after="120"/>
        <w:ind w:firstLine="709"/>
      </w:pPr>
      <w:r>
        <w:rPr>
          <w:sz w:val="24"/>
        </w:rPr>
        <w:t xml:space="preserve">5) ледоколы, суда с ядерными энергетическими установками и суда атомно-технологического обслуживания;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29.11.2012 N 202-ФЗ)</w:t>
      </w:r>
    </w:p>
    <w:p>
      <w:pPr>
        <w:spacing w:after="120"/>
        <w:ind w:firstLine="709"/>
      </w:pPr>
      <w:r>
        <w:rPr>
          <w:sz w:val="24"/>
        </w:rPr>
        <w:t xml:space="preserve">6) космические объекты 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29.11.2012 N 202-ФЗ)</w:t>
      </w:r>
    </w:p>
    <w:p>
      <w:pPr>
        <w:spacing w:after="120"/>
        <w:ind w:firstLine="709"/>
      </w:pPr>
      <w:r>
        <w:rPr>
          <w:sz w:val="24"/>
        </w:rPr>
        <w:t xml:space="preserve">7) суда, зарегистрированные в Российском международном реестре судов 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29.11.2012 N 202-ФЗ)</w:t>
      </w:r>
    </w:p>
    <w:p>
      <w:pPr>
        <w:spacing w:after="120"/>
        <w:ind w:firstLine="709"/>
      </w:pPr>
      <w:r>
        <w:rPr>
          <w:sz w:val="24"/>
        </w:rPr>
        <w:t xml:space="preserve">8) утратил силу. - Федеральный закон от 03.08.2018 N 302-ФЗ;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суда, зарегистрированные в Российском открытом реестре судов лицами, получившими статус участника специального административного района в соответствии с Федеральным законом от 3 августа 2018 года N 291-ФЗ "О специальных административных районах на территориях Калининградской области и Приморского края";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29.09.2019 N 324-ФЗ)</w:t>
      </w:r>
    </w:p>
    <w:p>
      <w:pPr>
        <w:spacing w:after="120"/>
        <w:ind w:firstLine="709"/>
      </w:pPr>
      <w:r>
        <w:rPr>
          <w:sz w:val="24"/>
        </w:rPr>
        <w:t xml:space="preserve">10) воздушные суда, зарегистрированные в Государственном реестре гражданских воздушных судов лицами, получившими статус участника специального административного района в соответствии с Федеральным законом от 3 августа 2018 года N 291-ФЗ "О специальных административных районах на территориях Калининградской области и Приморского края";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29.09.2019 N 324-ФЗ)</w:t>
      </w:r>
    </w:p>
    <w:p>
      <w:pPr>
        <w:spacing w:after="120"/>
        <w:ind w:firstLine="709"/>
      </w:pPr>
      <w:r>
        <w:rPr>
          <w:sz w:val="24"/>
        </w:rPr>
        <w:t xml:space="preserve">11) имущество международной холдинговой компании, расположенное за пределами территории Российской Федерации и используемое в связи с ее участием в реализации проектов по геологическому изучению, разведке, добыче полезных ископаемых и выполнением иных работ, предусмотренных указанными проектами, при условии, что такие проекты осуществляются в соответствии с соглашениями о разделе продукции, концессионными соглашениями, лицензионными соглашениями или иными соглашениями (контрактами) на условиях риска;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26.03.2022 N 66-ФЗ; в ред. Федерального закона от 19.12.2023 N 595-ФЗ)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имущество, закрепленное на праве оперативного управления за учреждениями, находящимися в ведении федерального органа исполнительной власти, основными задачами которого являются материально-техническое обеспечение деятельности и социально-бытовое обслуживание Президента Российской Федерации, оказывающими государственные услуги и выполняющими работы по санаторно-курортному лечению и организованному отдыху.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21.11.2022 N 443-ФЗ)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374</dc:title>
  <dc:creator>АРБИТРАЖ! · arbi.ru</dc:creator>
  <cp:lastModifiedBy>АРБИТРАЖ!</cp:lastModifiedBy>
  <dcterms:created xsi:type="dcterms:W3CDTF">2026-10-22T22:02:39.059Z</dcterms:created>
</cp:coreProperties>
</file>