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378.1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30. Налог на имущество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30.06.2008 N 108-ФЗ)</w:t>
      </w:r>
    </w:p>
    <w:p>
      <w:pPr>
        <w:spacing w:after="120"/>
        <w:ind w:firstLine="709"/>
      </w:pPr>
      <w:r>
        <w:rPr>
          <w:sz w:val="24"/>
        </w:rPr>
        <w:t xml:space="preserve">Имущество, переданное концессионеру и (или) созданное им в соответствии с концессионным соглашением , подлежит налогообложению у концессионера.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378.1</dc:title>
  <dc:creator>АРБИТРАЖ! · arbi.ru</dc:creator>
  <cp:lastModifiedBy>АРБИТРАЖ!</cp:lastModifiedBy>
  <dcterms:created xsi:type="dcterms:W3CDTF">2026-10-22T20:22:37.900Z</dcterms:created>
</cp:coreProperties>
</file>