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Отчетными периодами признаются первый квартал, полугодие и девять месяцев календарного года,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Отчетными периодами для налогоплательщиков, исчисляющих налог исходя из кадастровой стоимости, признаются первый квартал, второй квартал и третий квартал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28.11.2015 N 327-ФЗ)</w:t>
      </w:r>
    </w:p>
    <w:p>
      <w:pPr>
        <w:spacing w:after="120"/>
        <w:ind w:firstLine="709"/>
      </w:pPr>
      <w:r>
        <w:rPr>
          <w:sz w:val="24"/>
        </w:rPr>
        <w:t xml:space="preserve">3. Законодательный орган субъекта Российской Федерации при установлении налога вправе не устанавливать отчетные периоды.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379</dc:title>
  <dc:creator>АРБИТРАЖ! · arbi.ru</dc:creator>
  <cp:lastModifiedBy>АРБИТРАЖ!</cp:lastModifiedBy>
  <dcterms:created xsi:type="dcterms:W3CDTF">2026-10-22T16:47:33.828Z</dcterms:created>
</cp:coreProperties>
</file>