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Налоговым периодом признается календарный год.</w:t>
      </w:r>
    </w:p>
    <w:p>
      <w:pPr>
        <w:spacing w:after="120"/>
        <w:ind w:firstLine="709"/>
      </w:pPr>
      <w:r>
        <w:rPr>
          <w:sz w:val="24"/>
        </w:rPr>
        <w:t xml:space="preserve">2. Отчетными периодами признаются первый квартал, полугодие и девять месяцев календарного года,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Отчетными периодами для налогоплательщиков, исчисляющих налог исходя из кадастровой стоимости, признаются первый квартал, второй квартал и третий квартал календарного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28.11.2015 N 327-ФЗ)</w:t>
      </w:r>
    </w:p>
    <w:p>
      <w:pPr>
        <w:spacing w:after="120"/>
        <w:ind w:firstLine="709"/>
      </w:pPr>
      <w:r>
        <w:rPr>
          <w:sz w:val="24"/>
        </w:rPr>
        <w:t xml:space="preserve">3. Законодательный орган субъекта Российской Федерации при установлении налога вправе не устанавливать отчетные периоды.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379</dc:title>
  <dc:creator>АРБИТРАЖ! · arbi.ru</dc:creator>
  <cp:lastModifiedBy>АРБИТРАЖ!</cp:lastModifiedBy>
  <dcterms:created xsi:type="dcterms:W3CDTF">2026-10-22T18:06:15.240Z</dcterms:created>
</cp:coreProperties>
</file>