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Налоговые ставки устанавливаются законами субъектов Российской Федерации и не могут превышать 2,2 процента,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отношении объектов недвижимого имущества, налоговая база в отношении которых определяется как кадастровая стоимость, за исключением объектов, указанных в пунктах 1.2 , 1.3 , 3.1 и 3.2 настоящей статьи, налоговые ставки устанавливаются законами субъектов Российской Федерации и не могут превышать 2 процента.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31.07.2023 N 389-ФЗ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 отношении жилых помещений, гаражей, машино-мест, которые принадлежат личному фонду на праве собственности и налоговая база в отношении которых определяется как кадастровая стоимость, за исключением объектов налогообложения, кадастровая стоимость каждого из которых превышает 300 миллионов рублей, налоговые ставки устанавливаются законами субъектов Российской Федерации и не могут превышать 0,3 процента.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1.3. В отношении объектов недвижимого имущества, налоговая база в отношении которых определяется как кадастровая стоимость и кадастровая стоимость каждого из которых превышает 300 миллионов рублей, налоговые ставки устанавливаются законами субъектов Российской Федерации и не могут превышать 2,5 процента.</w:t>
      </w:r>
    </w:p>
    <w:p>
      <w:pPr>
        <w:spacing w:after="120"/>
        <w:ind w:firstLine="709"/>
      </w:pPr>
      <w:r>
        <w:rPr>
          <w:sz w:val="24"/>
        </w:rPr>
        <w:t xml:space="preserve">(п. 1.3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2. Допускается установление дифференцированных налоговых ставок в зависимости от вида недвижимого имущества, признаваемого объектом налогообложения, и (или) его кадастровой стоимости.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1 января 2035 года Федеральным законом от 24.11.2014 N 366-ФЗ пункт 3.1 статьи 380 признается утратившим силу.</w:t>
      </w:r>
    </w:p>
    <w:p>
      <w:pPr>
        <w:spacing w:after="120"/>
        <w:ind w:firstLine="709"/>
      </w:pPr>
      <w:r>
        <w:rPr>
          <w:sz w:val="24"/>
        </w:rPr>
        <w:t xml:space="preserve">3.1. Налоговая ставка устанавливается в размере 0 процентов в отношении следующих видов недвижимого имущества :</w:t>
      </w:r>
    </w:p>
    <w:p>
      <w:pPr>
        <w:spacing w:after="120"/>
        <w:ind w:firstLine="709"/>
      </w:pPr>
      <w:r>
        <w:rPr>
          <w:sz w:val="24"/>
        </w:rPr>
        <w:t xml:space="preserve">объектов магистральных газопроводов, объектов газодобычи, объектов производства и хранения гелия;</w:t>
      </w:r>
    </w:p>
    <w:p>
      <w:pPr>
        <w:spacing w:after="120"/>
        <w:ind w:firstLine="709"/>
      </w:pPr>
      <w:r>
        <w:rPr>
          <w:sz w:val="24"/>
        </w:rPr>
        <w:t xml:space="preserve">объектов, предусмотренных техническими проектами разработки месторождений полезных ископаемых и иной проектной документацией на выполнение работ, связанных с пользованием участками недр, или проектной документацией объектов капитального строительства, и необходимых для обеспечения функционирования объектов недвижимого имущества, указанных в абзаце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в размере 0 процентов применяется в отношении объектов недвижимого имущества, указанных в настоящем пункте, при условии одновременного выполнения для таких объектов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объекты впервые введены в эксплуатацию в налоговые периоды начиная с 1 января 2015 года;</w:t>
      </w:r>
    </w:p>
    <w:p>
      <w:pPr>
        <w:spacing w:after="120"/>
        <w:ind w:firstLine="709"/>
      </w:pPr>
      <w:r>
        <w:rPr>
          <w:sz w:val="24"/>
        </w:rPr>
        <w:t xml:space="preserve">объекты расположены полностью или частично в границах Республики Саха (Якутия), Иркутской или Амурской области;</w:t>
      </w:r>
    </w:p>
    <w:p>
      <w:pPr>
        <w:spacing w:after="120"/>
        <w:ind w:firstLine="709"/>
      </w:pPr>
      <w:r>
        <w:rPr>
          <w:sz w:val="24"/>
        </w:rPr>
        <w:t xml:space="preserve">объекты учитываются на балансе организаций, указанных в подпункте 1 пункта 5 статьи 342.4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имущества, относящегося к объектам недвижимого имущества, указанным в настоящем пункте,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Налоговые ставки, определяемые законами субъектов Российской Федерации в отношении железнодорожных путей общего пользования и сооружений, являющихся их неотъемлемой технологической частью, не могут превышать в 2017 году 1 процент, в 2018 году - 1,3 процента, в 2019 году - 1,3 процента, с 2020 года - 1,6 процента. Перечень имущества, относящегося к указанным объектам, утверждается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28.12.2016 N 464-ФЗ; в ред. Федеральных законов от 23.11.2020 N 374-ФЗ , от 02.07.2021 N 305-ФЗ , от 31.07.2023 N 389-ФЗ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3.3. Утратил силу. - Федеральный закон от 03.08.2018 N 302-ФЗ.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налоговые ставки не определены законами субъектов Российской Федерации, налогообложение производится по налоговым ставкам, указанным в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29.11.2012 N 202-ФЗ, 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января 2020 года.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380</dc:title>
  <dc:creator>АРБИТРАЖ! · arbi.ru</dc:creator>
  <cp:lastModifiedBy>АРБИТРАЖ!</cp:lastModifiedBy>
  <dcterms:created xsi:type="dcterms:W3CDTF">2026-10-22T06:43:51.378Z</dcterms:created>
</cp:coreProperties>
</file>