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381.1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30.11.2016 N 401-ФЗ)</w:t>
      </w:r>
    </w:p>
    <w:p>
      <w:pPr>
        <w:spacing w:after="120"/>
        <w:ind w:firstLine="709"/>
      </w:pPr>
      <w:r>
        <w:rPr>
          <w:sz w:val="24"/>
        </w:rPr>
        <w:t xml:space="preserve">1 . С 1 января 2018 года налоговые льготы, указанные в пунктах 21 , 24 (в части имущества, расположенного в российской части (российском секторе) дна Каспийского моря) статьи 381 настоящего Кодекса, применяются на территории субъекта Российской Федерации в случае принятия соответствующего закона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30.09.2017 N 286-ФЗ , от 03.08.2018 N 302-ФЗ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03.08.2018 N 302-ФЗ.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381.1</dc:title>
  <dc:creator>АРБИТРАЖ! · arbi.ru</dc:creator>
  <cp:lastModifiedBy>АРБИТРАЖ!</cp:lastModifiedBy>
  <dcterms:created xsi:type="dcterms:W3CDTF">2026-10-22T22:45:54.228Z</dcterms:created>
</cp:coreProperties>
</file>