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1 ст. 383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уплаты лицам, осуществляющим предпринимательскую деятельность на территории Краснодарского края, пострадавшим от последствий ЧП в Керченском проливе 15.12.2024, см. Постановление Правительства РФ от 09.04.2025 N 466.</w:t>
      </w:r>
    </w:p>
    <w:p>
      <w:pPr>
        <w:spacing w:after="120"/>
        <w:ind w:firstLine="709"/>
      </w:pPr>
      <w:r>
        <w:rPr>
          <w:sz w:val="24"/>
        </w:rPr>
        <w:t xml:space="preserve">1. Налог подлежит уплате налогоплательщиками в срок не позднее 28 февраля года, следующего за истекшим налоговым периодом. Авансовые платежи по налогу подлежат уплате налогоплательщиками в срок не позднее 28-го числа месяца, следующего за истекшим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305-ФЗ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течение налогового периода налогоплательщики уплачивают авансовые платежи по налогу, если законом субъекта Российской Федерации не предусмотрено иное. По истечении налогового периода налогоплательщики уплачивают сумму налога, исчисленную в порядке, предусмотренном пунктом 2 статьи 382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2 ст. 383 дополняется абз. 2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В отношении имущества, находящегося на балансе российской организации, налог и авансовые платежи по налогу подлежат уплате в бюджет по местонахождению указанной организации с учетом особенностей, предусмотренных статьями 384 , 385 и 385.2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28.11.2009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28.11.2009 N 284-ФЗ.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Иностранные организации, осуществляющие деятельность в Российской Федерации через постоянные представительства,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органах.</w:t>
      </w:r>
    </w:p>
    <w:p>
      <w:pPr>
        <w:spacing w:after="120"/>
        <w:ind w:firstLine="709"/>
      </w:pPr>
      <w:r>
        <w:rPr>
          <w:sz w:val="24"/>
        </w:rPr>
        <w:t xml:space="preserve">6. В отношении объектов недвижимого имущества, в отношении которых налоговая база определяется как кадастровая стоимость, налог и авансовые платежи по налогу подлежат уплате в бюджет в соответствии со статьей 382 настоящего Кодекса по месту нахождения объекта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Утратил силу с 1 января 2026 года.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383</dc:title>
  <dc:creator>АРБИТРАЖ! · arbi.ru</dc:creator>
  <cp:lastModifiedBy>АРБИТРАЖ!</cp:lastModifiedBy>
  <dcterms:created xsi:type="dcterms:W3CDTF">2026-10-22T18:53:18.387Z</dcterms:created>
</cp:coreProperties>
</file>