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394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исчислил (доначислил) земельный налог без применения льготной ставки, установленной для сельскохозяйственных земель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исчислил (доначислил) земельный налог без применения льготной ставки, установленной для земель под жилищным фондом и (или) объектами инфраструктуры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земельный налог без применения льготной ставки в отношении земли под индивидуальное жилищное строительство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начисление земельного налога без применения льготной ставки, установленной для сельскохозяйственных земель (земель для ведения ЛПХ, садоводства или огородничества)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394 признан частично не соответствующим Конституции РФ ( Постановление КС РФ от 21.07.2026 N 52-П).</w:t>
      </w:r>
    </w:p>
    <w:p>
      <w:pPr>
        <w:spacing w:after="120"/>
        <w:ind w:firstLine="709"/>
      </w:pPr>
      <w:r>
        <w:rPr>
          <w:sz w:val="24"/>
        </w:rPr>
        <w:t xml:space="preserve">1. Налоговые ставки устанавливаются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и не могут превышать: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379-ФЗ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0,3 процента в отношении земельных участков :</w:t>
      </w:r>
    </w:p>
    <w:p>
      <w:pPr>
        <w:spacing w:after="120"/>
        <w:ind w:firstLine="709"/>
      </w:pPr>
      <w:r>
        <w:rPr>
          <w:sz w:val="24"/>
        </w:rPr>
        <w:t xml:space="preserve"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28.11.2009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216-ФЗ , от 29.09.2019 N 325-ФЗ , от 31.07.2023 N 389-ФЗ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 , садоводства или огородничества, а также земельных участков общего назначения 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15.04.2019 N 63-ФЗ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29.11.2012 N 202-ФЗ)</w:t>
      </w:r>
    </w:p>
    <w:p>
      <w:pPr>
        <w:spacing w:after="120"/>
        <w:ind w:firstLine="709"/>
      </w:pPr>
      <w:r>
        <w:rPr>
          <w:sz w:val="24"/>
        </w:rPr>
        <w:t xml:space="preserve">2) 1,5 процента в отношении прочих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2. Допускается установление дифференцированных налоговых ставок в зависимости от категорий земель и (или) разрешенного использования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29.06.2012 N 96-ФЗ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налоговые ставки не определены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"Сириус"), налогообложение производится по налоговым ставкам, указанным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29.11.2012 N 202-ФЗ, в ред. Федеральных законов от 29.11.2014 N 379-ФЗ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394</dc:title>
  <dc:creator>АРБИТРАЖ! · arbi.ru</dc:creator>
  <cp:lastModifiedBy>АРБИТРАЖ!</cp:lastModifiedBy>
  <dcterms:created xsi:type="dcterms:W3CDTF">2026-10-22T20:23:56.228Z</dcterms:created>
</cp:coreProperties>
</file>