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406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Налог на имущество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04.10.2014 N 284-ФЗ)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406 НК РФ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оспаривает начисление налога на имущество, облагаемое по кадастровой стоимости, ссылаясь на применение неверной налоговой ставки</w:t>
      </w:r>
    </w:p>
    <w:p>
      <w:pPr>
        <w:spacing w:after="120"/>
        <w:ind w:firstLine="709"/>
      </w:pPr>
      <w:r>
        <w:rPr>
          <w:sz w:val="24"/>
        </w:rPr>
        <w:t xml:space="preserve">1. Утратил силу. - Федеральный закон от 23.11.2020 N 374-ФЗ.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Налоговые ставки устанавливаются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 в размерах , не превышающих: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23.11.2020 N 374-ФЗ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0,1 процента в отношении:</w:t>
      </w:r>
    </w:p>
    <w:p>
      <w:pPr>
        <w:spacing w:after="120"/>
        <w:ind w:firstLine="709"/>
      </w:pPr>
      <w:r>
        <w:rPr>
          <w:sz w:val="24"/>
        </w:rPr>
        <w:t xml:space="preserve">жилых домов, частей жилых домов, квартир, частей квартир, комнат;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объектов незавершенного строительства в случае, если проектируемым назначением таких объектов является жилой дом;</w:t>
      </w:r>
    </w:p>
    <w:p>
      <w:pPr>
        <w:spacing w:after="120"/>
        <w:ind w:firstLine="709"/>
      </w:pPr>
      <w:r>
        <w:rPr>
          <w:sz w:val="24"/>
        </w:rPr>
        <w:t xml:space="preserve">единых недвижимых комплексов, в состав которых входит хотя бы один жилой дом;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30.09.2017 N 286-ФЗ)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гаражей и машино-мест, в том числе расположенных в объектах налогообложения, указанных в подпункте 2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2 процентов в отношении объектов налогообложения, включенных в перечень, определяемый в соответствии с пунктом 7 статьи 378.2 настоящего Кодекса, в отношении объектов налогообложения, предусмотренных абзацем вторым пункта 10 статьи 378.2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дом;</w:t>
      </w:r>
    </w:p>
    <w:p>
      <w:pPr>
        <w:spacing w:after="120"/>
        <w:ind w:firstLine="709"/>
      </w:pPr>
      <w:r>
        <w:rPr>
          <w:sz w:val="24"/>
        </w:rPr>
        <w:t xml:space="preserve">(пп. 2.1 введен Федеральным законом от 12.07.2024 N 176-ФЗ;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0,5 процента в отношении прочих объектов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3. Налоговые ставки, указанные в подпункте 1 пункта 2 настоящей статьи, могут быть уменьшены до нуля или увеличены, но не более чем в три раза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23.11.2020 N 374-ФЗ.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Допускается установление дифференцированных налоговых ставок в зависимости от:</w:t>
      </w:r>
    </w:p>
    <w:p>
      <w:pPr>
        <w:spacing w:after="120"/>
        <w:ind w:firstLine="709"/>
      </w:pPr>
      <w:r>
        <w:rPr>
          <w:sz w:val="24"/>
        </w:rPr>
        <w:t xml:space="preserve">1) кадастровой стоимости объекта налогообложения;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вида объекта налогообложения;</w:t>
      </w:r>
    </w:p>
    <w:p>
      <w:pPr>
        <w:spacing w:after="120"/>
        <w:ind w:firstLine="709"/>
      </w:pPr>
      <w:r>
        <w:rPr>
          <w:sz w:val="24"/>
        </w:rPr>
        <w:t xml:space="preserve">3) места нахождения объекта налогообложения;</w:t>
      </w:r>
    </w:p>
    <w:p>
      <w:pPr>
        <w:spacing w:after="120"/>
        <w:ind w:firstLine="709"/>
      </w:pPr>
      <w:r>
        <w:rPr>
          <w:sz w:val="24"/>
        </w:rPr>
        <w:t xml:space="preserve">4) утратил силу с 1 января 2020 года. - Федеральный закон от 29.09.2019 N 325-ФЗ.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Если налоговые ставки не определены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"Сириус"), налогообложение производится по налоговым ставкам, указанным в пункте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23.11.2020 N 374-ФЗ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406</dc:title>
  <dc:creator>АРБИТРАЖ! · arbi.ru</dc:creator>
  <cp:lastModifiedBy>АРБИТРАЖ!</cp:lastModifiedBy>
  <dcterms:created xsi:type="dcterms:W3CDTF">2026-10-22T23:30:26.346Z</dcterms:created>
</cp:coreProperties>
</file>