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409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Налог на имущество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04.10.2014 N 284-ФЗ)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сроков уплаты налога отдельными налогоплательщиками Курской области см. Постановление Правительства РФ от 07.12.2024 N 1735.</w:t>
      </w:r>
    </w:p>
    <w:p>
      <w:pPr>
        <w:spacing w:after="120"/>
        <w:ind w:firstLine="709"/>
      </w:pPr>
      <w:r>
        <w:rPr>
          <w:sz w:val="24"/>
        </w:rPr>
        <w:t xml:space="preserve">1. Налог подлежит уплате налогоплательщиками в срок не позднее 1 декабря года, следующего за истекшим налоговым периодом,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23.11.2015 N 320-ФЗ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Налог, исчисленный по результатам перерасчета суммы ранее исчисленного налога, подлежит уплате налогоплательщиками в срок не позднее 28-го числа третьего месяца, следующего за месяцем, в котором сформировано налоговое уведомление в связи с данным перерасчетом.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2. Налог уплачивается по месту нахождения объекта налогообложения на основании налогового уведомления , направляемого налогоплательщику налоговым органом.</w:t>
      </w:r>
    </w:p>
    <w:p>
      <w:pPr>
        <w:spacing w:after="120"/>
        <w:ind w:firstLine="709"/>
      </w:pPr>
      <w:r>
        <w:rPr>
          <w:sz w:val="24"/>
        </w:rPr>
        <w:t xml:space="preserve">3.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 уплачивает налог не более чем за три налоговых периода, предшествующих календарному году направления налогового уведомления.</w:t>
      </w:r>
    </w:p>
    <w:p>
      <w:pPr>
        <w:spacing w:after="120"/>
        <w:ind w:firstLine="709"/>
      </w:pPr>
      <w:r>
        <w:rPr>
          <w:sz w:val="24"/>
        </w:rPr>
        <w:t xml:space="preserve">5.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409</dc:title>
  <dc:creator>АРБИТРАЖ! · arbi.ru</dc:creator>
  <cp:lastModifiedBy>АРБИТРАЖ!</cp:lastModifiedBy>
  <dcterms:created xsi:type="dcterms:W3CDTF">2026-10-22T20:20:54.452Z</dcterms:created>
</cp:coreProperties>
</file>