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Торговый сбор (далее в настоящей главе - сбор)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</w:t>
      </w:r>
    </w:p>
    <w:p>
      <w:pPr>
        <w:spacing w:after="120"/>
        <w:ind w:firstLine="709"/>
      </w:pPr>
      <w:r>
        <w:rPr>
          <w:sz w:val="24"/>
        </w:rPr>
        <w:t xml:space="preserve">В городах федерального значения Москве, Санкт-Петербурге и Севастополе сбор устанавливается настоящим Кодексом и законами указанных субъектов Российской Федерации,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Устанавливая сбор, представительные (законодательные) органы муниципальных образований (городов федерального значения Москвы, Санкт-Петербурга и Севастополя) определяют ставку сбора в пределах, установленных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3.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могут также устанавливаться льготы, основания и порядок их применения.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410</dc:title>
  <dc:creator>АРБИТРАЖ! · arbi.ru</dc:creator>
  <cp:lastModifiedBy>АРБИТРАЖ!</cp:lastModifiedBy>
  <dcterms:created xsi:type="dcterms:W3CDTF">2026-10-22T11:42:09.669Z</dcterms:created>
</cp:coreProperties>
</file>