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Торговый сбор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29.11.2014 N 382-ФЗ)</w:t>
      </w:r>
    </w:p>
    <w:p>
      <w:pPr>
        <w:spacing w:after="120"/>
        <w:ind w:firstLine="709"/>
      </w:pPr>
      <w:r>
        <w:rPr>
          <w:sz w:val="24"/>
        </w:rPr>
        <w:t xml:space="preserve">Периодом обложения сбором признается квартал.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414</dc:title>
  <dc:creator>АРБИТРАЖ! · arbi.ru</dc:creator>
  <cp:lastModifiedBy>АРБИТРАЖ!</cp:lastModifiedBy>
  <dcterms:created xsi:type="dcterms:W3CDTF">2026-10-22T12:13:05.689Z</dcterms:created>
</cp:coreProperties>
</file>