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415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33. Торговый сбор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29.11.2014 N 382-ФЗ)</w:t>
      </w:r>
    </w:p>
    <w:p>
      <w:pPr>
        <w:spacing w:after="120"/>
        <w:ind w:firstLine="709"/>
      </w:pPr>
      <w:r>
        <w:rPr>
          <w:sz w:val="24"/>
        </w:rPr>
        <w:t xml:space="preserve">1. Ставки сбора устанавливаются нормативными правовыми актами муниципальных образований (законами городов федерального значения Москвы, Санкт-Петербурга и Севастополя) в рублях за квартал в расчете на объект осуществления торговли или на его площадь.</w:t>
      </w:r>
    </w:p>
    <w:p>
      <w:pPr>
        <w:spacing w:after="120"/>
        <w:ind w:firstLine="709"/>
      </w:pPr>
      <w:r>
        <w:rPr>
          <w:sz w:val="24"/>
        </w:rPr>
        <w:t xml:space="preserve">При этом с учетом особенностей, предусмотренных настоящей статьей, ставка сбора не может превышать расчетную сумму налога, подлежащую уплате в соответствующем муниципальном образовании (городе федерального значения Москве, Санкт-Петербурге или Севастополе) в связи с применением патентной системы налогообложения на основании патента по соответствующему виду деятельности, выданного на три месяца.</w:t>
      </w:r>
    </w:p>
    <w:p>
      <w:pPr>
        <w:spacing w:after="120"/>
        <w:ind w:firstLine="709"/>
      </w:pPr>
      <w:r>
        <w:rPr>
          <w:sz w:val="24"/>
        </w:rPr>
        <w:t xml:space="preserve">2. В целях определения предельных ставок сбора в соответствии с пунктом 1 настоящей статьи не учитываются ограничения для применения патентной системы налогообложения по деятельности в виде розничной торговли, установленные подпунктом 1 пункта 3 статьи 346.43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Ставка сбора, установленного по торговле через объекты стационарной торговой сети с площадью торгового зала более 50 квадратных метров по каждому объекту стационарной торговой сети, устанавливается в расчете на 1 квадратный метр площади торгового зала, а по торговле, осуществляемой путем отпуска товаров со склада, - в расчете на 1 квадратный метр площади склада и не может превышать расчетную сумму налога, подлежащую уплате в связи с применением патентной системы налогообложения в данном муниципальном образовании (городе федерального значения Москве, Санкт-Петербурге или Севастополе) на основании патента по розничной торговле, осуществляемой через объекты стационарной торговой сети с площадью торгового зала не более 50 квадратных метров по каждому объекту стационарной торговой сети, выданного на три месяца, деленную на 50.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Ставка сбора, установленного по деятельности по организации розничных рынков, не может превышать 550 рублей на 1 квадратный метр площади розничного рынка. Указанная ставка подлежит ежегодной индексации на коэффициент-дефлятор , установленный на соответствующий календарный год.</w:t>
      </w:r>
    </w:p>
    <w:p>
      <w:pPr>
        <w:spacing w:after="120"/>
        <w:ind w:firstLine="709"/>
      </w:pPr>
      <w:r>
        <w:rPr>
          <w:sz w:val="24"/>
        </w:rPr>
        <w:t xml:space="preserve">5. Площадь торгового зала в целях настоящей главы определяется в соответствии с подпунктом 5 пункта 3 статьи 346.43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6. Нормативными правовыми актами муниципальных образований (законами городов федерального значения Москвы, Санкт-Петербурга и Севастополя) могут быть установлены дифференцированные ставки сбора в зависимости от территории осуществления конкретного вида торговой деятельности, категории плательщика сбора, особенностей осуществления отдельных видов торговли, а также особенностей объектов осуществления торговли. При этом ставка сбора может быть снижена вплоть до нуля.</w:t>
      </w:r>
    </w:p>
    <w:p>
      <w:pPr>
        <w:spacing w:after="120"/>
        <w:ind w:firstLine="709"/>
      </w:pPr>
      <w:r>
        <w:rPr>
          <w:sz w:val="24"/>
        </w:rPr>
        <w:t xml:space="preserve">7. Ставки сбора, установленные в соответствии с пунктами 1 , 3 и 6 настоящей статьи, подлежат ежегодной индексации на коэффициент-дефлятор, установленный на соответствующий календарный год, если это предусмотрено нормативными правовыми актами муниципальных образований (законами городов федерального значения Москвы, Санкт-Петербурга и Севастополя), при условии, что в соответствующем субъекте Российской Федерации предусмотрена индексация размеров потенциально возможного к получению индивидуальным предпринимателем годового дохода по соответствующим видам предпринимательской деятельности, в отношении которых применяется патентная система налогообложения, в соответствии с подпунктом 6 пункта 8 статьи 346.43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31.07.2023 N 389-ФЗ)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415</dc:title>
  <dc:creator>АРБИТРАЖ! · arbi.ru</dc:creator>
  <cp:lastModifiedBy>АРБИТРАЖ!</cp:lastModifiedBy>
  <dcterms:created xsi:type="dcterms:W3CDTF">2026-10-22T21:10:39.369Z</dcterms:created>
</cp:coreProperties>
</file>