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417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33. Торговый сбор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29.11.2014 N 382-ФЗ)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настоящей статьей, сумма сбора определяется плательщиком самостоятельно для каждого объекта обложения сбором начиная с периода обложения, в котором возник объект обложения сбором, как произведение ставки сбора в отношении соответствующего вида предпринимательской деятельности и фактического значения физической характеристики соответствующего объекта осуществления торговли.</w:t>
      </w:r>
    </w:p>
    <w:p>
      <w:pPr>
        <w:spacing w:after="120"/>
        <w:ind w:firstLine="709"/>
      </w:pPr>
      <w:r>
        <w:rPr>
          <w:sz w:val="24"/>
        </w:rPr>
        <w:t xml:space="preserve">2. Уплата сбора производится не позднее 28-го числа месяца, следующего за периодом обложения.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28.12.2022 N 565-ФЗ)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417</dc:title>
  <dc:creator>АРБИТРАЖ! · arbi.ru</dc:creator>
  <cp:lastModifiedBy>АРБИТРАЖ!</cp:lastModifiedBy>
  <dcterms:created xsi:type="dcterms:W3CDTF">2026-10-22T22:04:28.331Z</dcterms:created>
</cp:coreProperties>
</file>