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в размерах, не превышающих в 2025 году 1 процента, в 2026 году - 2 процентов, в 2027 году - 3 процентов, в 2028 году - 4 процентов, начиная с 2029 года - 5 процентов от налоговой базы.</w:t>
      </w:r>
    </w:p>
    <w:p>
      <w:pPr>
        <w:spacing w:after="120"/>
        <w:ind w:firstLine="709"/>
      </w:pPr>
      <w:r>
        <w:rPr>
          <w:sz w:val="24"/>
        </w:rPr>
        <w:t xml:space="preserve">2. Налоговые ставки могут быть дифференцированы с учетом сезонности (по кварталам, календарным месяцам), типа средства размещения и (или) категории средства размещения.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418.5</dc:title>
  <dc:creator>АРБИТРАЖ! · arbi.ru</dc:creator>
  <cp:lastModifiedBy>АРБИТРАЖ!</cp:lastModifiedBy>
  <dcterms:created xsi:type="dcterms:W3CDTF">2026-10-23T20:11:47.064Z</dcterms:created>
</cp:coreProperties>
</file>