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421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34. Страховые взносы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1. База для исчисления страховых взносов для плательщиков, указанных в абзацах втором и третьем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1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pPr>
        <w:spacing w:after="120"/>
        <w:ind w:firstLine="709"/>
      </w:pPr>
      <w:r>
        <w:rPr>
          <w:sz w:val="24"/>
        </w:rPr>
        <w:t xml:space="preserve">В случае , если за календарный месяц расчетного (отчетного) периода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начисленных в отношении физического лица, являющегося единоличным исполнительным органом коммерческой организации, составляет менее величины минимального размера оплаты труда, установленного федеральным законом на начало такого расчетного (отчетного) периода, то для целей определения базы для исчисления страховых взносов за такой расчетный (отчетный) период в отношении данного физического лица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за указанный месяц принимается равной величине минимального размера оплаты труда, установленного федеральным законом на начало такого расчетного (отчетного) периода. При осуществлении физическим лицом полномочий единоличного исполнительного органа коммерческой организации неполный месяц указанная величина определяется пропорционально количеству календарных дней этого месяца, в течение которых осуществлялись такие полномочия.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2. База для исчисления страховых взносов для плательщиков, указанных в абзаце четвертом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2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pPr>
        <w:spacing w:after="120"/>
        <w:ind w:firstLine="709"/>
      </w:pPr>
      <w:r>
        <w:rPr>
          <w:sz w:val="24"/>
        </w:rPr>
        <w:t xml:space="preserve">3. Для плательщиков, указанных в подпункте 1 пункта 1 статьи 419 настоящего Кодекса, на период 2017 - 2022 годов (до 31 декабря 2022 года включительно) устанавливаются предельная величина базы для исчисления страховых взносов на обязательное пенсионное страхование и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С сумм выплат и иных вознаграждений в пользу физического лица, превышающих установленную на соответствующий расчетный период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4.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на период 2017 - 2022 годов (до 31 декабря 2022 года включительно) подлежит ежегодной индексации с 1 января соответствующего года исходя из роста средней заработной платы в Российской Федерации.</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5. Для плательщиков, указанных в подпункте 1 пункта 1 статьи 419 настоящего Кодекса, на период 2017 - 2021 годов предельная величина базы для исчисления страховых взносов на обязательное пенсионное страхование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следующих применяемых к нему повышающих коэффициентов на соответствующий календарный год:</w:t>
      </w:r>
    </w:p>
    <w:p>
      <w:pPr>
        <w:spacing w:after="120"/>
        <w:ind w:firstLine="709"/>
      </w:pPr>
      <w:r>
        <w:rPr>
          <w:sz w:val="24"/>
        </w:rPr>
        <w:t xml:space="preserve">в 2017 году - 1,9;</w:t>
      </w:r>
    </w:p>
    <w:p>
      <w:pPr>
        <w:spacing w:after="120"/>
        <w:ind w:firstLine="709"/>
      </w:pPr>
      <w:r>
        <w:rPr>
          <w:sz w:val="24"/>
        </w:rPr>
        <w:t xml:space="preserve">в 2018 году - 2,0;</w:t>
      </w:r>
    </w:p>
    <w:p>
      <w:pPr>
        <w:spacing w:after="120"/>
        <w:ind w:firstLine="709"/>
      </w:pPr>
      <w:r>
        <w:rPr>
          <w:sz w:val="24"/>
        </w:rPr>
        <w:t xml:space="preserve">в 2019 году - 2,1;</w:t>
      </w:r>
    </w:p>
    <w:p>
      <w:pPr>
        <w:spacing w:after="120"/>
        <w:ind w:firstLine="709"/>
      </w:pPr>
      <w:r>
        <w:rPr>
          <w:sz w:val="24"/>
        </w:rPr>
        <w:t xml:space="preserve">в 2020 году - 2,2;</w:t>
      </w:r>
    </w:p>
    <w:p>
      <w:pPr>
        <w:spacing w:after="120"/>
        <w:ind w:firstLine="709"/>
      </w:pPr>
      <w:r>
        <w:rPr>
          <w:sz w:val="24"/>
        </w:rPr>
        <w:t xml:space="preserve">в 2021 году - 2,3.</w:t>
      </w:r>
    </w:p>
    <w:p>
      <w:pPr>
        <w:spacing w:after="120"/>
        <w:ind w:firstLine="709"/>
      </w:pPr>
      <w:r>
        <w:rPr>
          <w:sz w:val="24"/>
        </w:rPr>
        <w:t xml:space="preserve">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w:t>
      </w:r>
    </w:p>
    <w:p>
      <w:pPr>
        <w:spacing w:after="120"/>
        <w:ind w:firstLine="709"/>
      </w:pPr>
      <w:r>
        <w:rPr>
          <w:sz w:val="24"/>
        </w:rPr>
        <w:t xml:space="preserve">Установленная в соответствии с настоящим пунктом предельная величина базы для исчисления страховых взносов на обязательное пенсионное страхование в 2022 году подлежит индексации с учетом роста средней заработной платы в Российской Федерации.</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5.1. Для плательщиков, указанных в подпункте 1 пункта 1 статьи 419 настоящего Кодекса, начиная с 2023 года устанавливается единая предельная величина базы для исчисления страховых взносов.</w:t>
      </w:r>
    </w:p>
    <w:p>
      <w:pPr>
        <w:spacing w:after="120"/>
        <w:ind w:firstLine="709"/>
      </w:pPr>
      <w:r>
        <w:rPr>
          <w:sz w:val="24"/>
        </w:rPr>
        <w:t xml:space="preserve">С сумм выплат и иных вознаграждений в пользу физического лица, превышающих установленную на соответствующий расчетный период единую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pPr>
        <w:spacing w:after="120"/>
        <w:ind w:firstLine="709"/>
      </w:pPr>
      <w:r>
        <w:rPr>
          <w:sz w:val="24"/>
        </w:rPr>
        <w:t xml:space="preserve">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w:t>
      </w:r>
    </w:p>
    <w:p>
      <w:pPr>
        <w:spacing w:after="120"/>
        <w:ind w:firstLine="709"/>
      </w:pPr>
      <w:r>
        <w:rPr>
          <w:sz w:val="24"/>
        </w:rPr>
        <w:t xml:space="preserve">С 1 января 2023 года единая предельная величина базы для исчисления страховых взносов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примененного к нему коэффициента 2,3.</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(п. 5.1 введен Федеральным законом от 14.07.2022 N 239-ФЗ)</w:t>
      </w:r>
    </w:p>
    <w:p>
      <w:pPr>
        <w:spacing w:after="120"/>
        <w:ind w:firstLine="709"/>
      </w:pPr>
      <w:r>
        <w:rPr>
          <w:sz w:val="24"/>
        </w:rPr>
        <w:t xml:space="preserve">6. Размер соответствующей предельной величины базы для исчисления страховых взносов устанавливается ежегодно Правительством Российской Федерации с учетом пунктов 3 - 5.1 настоящей статьи. Размер предельной величины базы для исчисления страховых взносов округляется до полных тысяч рублей. При этом сумма 500 рублей и более округляется до полной тысячи рублей, а сумма менее 500 рублей отбрасывается.</w:t>
      </w:r>
    </w:p>
    <w:p>
      <w:pPr>
        <w:spacing w:after="120"/>
        <w:ind w:firstLine="709"/>
      </w:pPr>
      <w:r>
        <w:rPr>
          <w:sz w:val="24"/>
        </w:rPr>
        <w:t xml:space="preserve">(в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7. При осуществлении выплат и иных вознаграждений в натуральной форме в виде товаров (работ, услуг), иного имущества база для исчисления страховых взносов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w:t>
      </w:r>
    </w:p>
    <w:p>
      <w:pPr>
        <w:spacing w:after="120"/>
        <w:ind w:firstLine="709"/>
      </w:pPr>
      <w:r>
        <w:rPr>
          <w:sz w:val="24"/>
        </w:rPr>
        <w:t xml:space="preserve">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физическим лицом стоимости полученных им товаров, выполненных для него работ, оказанных ему услуг.</w:t>
      </w:r>
    </w:p>
    <w:p>
      <w:pPr>
        <w:spacing w:after="120"/>
        <w:ind w:firstLine="709"/>
      </w:pPr>
      <w:r>
        <w:rPr>
          <w:sz w:val="24"/>
        </w:rPr>
        <w:t xml:space="preserve">8. Сумма выплат и иных вознаграждений, учитываемых при исчислении базы для исчисления страховых взносов в части, касающейся договора авторского заказа, договора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издательского лицензионного договора, лицензионного договора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определяется как сумма доходов, полученных по договору авторского заказа, договору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уменьшенная на сумму фактически произведенных и документально подтвержденных расходов, связанных с извлечением таких доходов.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Если расходы, указанные в пункте 8 настоящей статьи, не могут быть подтверждены документально, они принимаются к вычету в следующих размерах (в процентах суммы начисленного дохода):</w:t>
      </w:r>
    </w:p>
    <w:p>
      <w:pPr>
        <w:spacing w:after="120"/>
        <w:ind w:firstLine="709"/>
      </w:pPr>
      <w:r>
        <w:rPr>
          <w:sz w:val="24"/>
        </w:rPr>
        <w:t xml:space="preserve">1) на создание литературных произведений, в том числе для театра, кино, эстрады и цирка, - 20 процентов;</w:t>
      </w:r>
    </w:p>
    <w:p>
      <w:pPr>
        <w:spacing w:after="120"/>
        <w:ind w:firstLine="709"/>
      </w:pPr>
      <w:r>
        <w:rPr>
          <w:sz w:val="24"/>
        </w:rPr>
        <w:t xml:space="preserve">2) на создание художественно-графических произведений, фоторабот для печати, произведений архитектуры и дизайна - 30 процентов;</w:t>
      </w:r>
    </w:p>
    <w:p>
      <w:pPr>
        <w:spacing w:after="120"/>
        <w:ind w:firstLine="709"/>
      </w:pPr>
      <w:r>
        <w:rPr>
          <w:sz w:val="24"/>
        </w:rPr>
        <w:t xml:space="preserve">3) на 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 - 40 процентов;</w:t>
      </w:r>
    </w:p>
    <w:p>
      <w:pPr>
        <w:spacing w:after="120"/>
        <w:ind w:firstLine="709"/>
      </w:pPr>
      <w:r>
        <w:rPr>
          <w:sz w:val="24"/>
        </w:rPr>
        <w:t xml:space="preserve">4) на создание аудиовизуальных произведений (видео-, теле- и кинофильмов), фонограмм, сообщений в эфир или по кабелю радио- или телепередач - 30 процентов;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 на создание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видеофильмов и театральных постановок - 40 процентов;</w:t>
      </w:r>
    </w:p>
    <w:p>
      <w:pPr>
        <w:spacing w:after="120"/>
        <w:ind w:firstLine="709"/>
      </w:pPr>
      <w:r>
        <w:rPr>
          <w:sz w:val="24"/>
        </w:rPr>
        <w:t xml:space="preserve">6) на создание других музыкальных произведений, в том числе произведений, подготовленных к опубликованию, - 25 процентов;</w:t>
      </w:r>
    </w:p>
    <w:p>
      <w:pPr>
        <w:spacing w:after="120"/>
        <w:ind w:firstLine="709"/>
      </w:pPr>
      <w:r>
        <w:rPr>
          <w:sz w:val="24"/>
        </w:rPr>
        <w:t xml:space="preserve">7) на исполнение произведений литературы и искусства - 20 процентов;</w:t>
      </w:r>
    </w:p>
    <w:p>
      <w:pPr>
        <w:spacing w:after="120"/>
        <w:ind w:firstLine="709"/>
      </w:pPr>
      <w:r>
        <w:rPr>
          <w:sz w:val="24"/>
        </w:rPr>
        <w:t xml:space="preserve">8) на создание научных трудов и разработок, программ для ЭВМ, баз данных - 20 процентов;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9) на открытия, селекционные достижения, изобретения, создание полезных моделей, промышленных образцов, секретов производства (ноу-хау), топологий интегральных микросхем (процент суммы дохода, полученного за первые два года использования) - 30 процентов.</w:t>
      </w:r>
    </w:p>
    <w:p>
      <w:pPr>
        <w:spacing w:after="120"/>
        <w:ind w:firstLine="709"/>
      </w:pPr>
      <w:r>
        <w:rPr>
          <w:sz w:val="24"/>
        </w:rPr>
        <w:t xml:space="preserve">(пп. 9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10. При определении базы для исчисления страховых взносов расходы, подтвержденные документально, не могут учитываться одновременно с расходами в пределах установленного норматива.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421</dc:title>
  <dc:creator>АРБИТРАЖ! · arbi.ru</dc:creator>
  <cp:lastModifiedBy>АРБИТРАЖ!</cp:lastModifiedBy>
  <dcterms:created xsi:type="dcterms:W3CDTF">2026-10-22T22:03:03.164Z</dcterms:created>
</cp:coreProperties>
</file>