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424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Страховые взносы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Дата осуществления выплат и иных вознаграждений определяется как:</w:t>
      </w:r>
    </w:p>
    <w:p>
      <w:pPr>
        <w:spacing w:after="120"/>
        <w:ind w:firstLine="709"/>
      </w:pPr>
      <w:r>
        <w:rPr>
          <w:sz w:val="24"/>
        </w:rPr>
        <w:t xml:space="preserve">1) день начисления выплат и иных вознаграждений в пользу работника (физического лица, в пользу которого осуществляются выплаты и иные вознаграждения) - для выплат и иных вознаграждений, начисленных плательщиками, указанными в абзацах втором и третьем подпункта 1 пункта 1 статьи 419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день осуществления выплат и иных вознаграждений в пользу физического лица - для плательщиков, указанных в абзаце четвертом подпункта 1 пункта 1 статьи 419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424</dc:title>
  <dc:creator>АРБИТРАЖ! · arbi.ru</dc:creator>
  <cp:lastModifiedBy>АРБИТРАЖ!</cp:lastModifiedBy>
  <dcterms:created xsi:type="dcterms:W3CDTF">2026-10-22T20:20:33.121Z</dcterms:created>
</cp:coreProperties>
</file>