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1. Законодательство о налогах и сборах и иные нормативные правовые акты о налогах и сборах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Нормативный правовой акт по вопросам налогов, сборов, страховых взносов признается не соответствующим настоящему Кодексу, если такой акт: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издан органом, не имеющим в соответствии с настоящим Кодексом права издавать подобного рода акты, либо издан с нарушением установленного порядка издания таких актов;</w:t>
      </w:r>
    </w:p>
    <w:p>
      <w:pPr>
        <w:spacing w:after="120"/>
        <w:ind w:firstLine="709"/>
      </w:pPr>
      <w:r>
        <w:rPr>
          <w:sz w:val="24"/>
        </w:rPr>
        <w:t xml:space="preserve">2) отменяет или ограничивает права налогоплательщиков, плательщиков сборов, плательщиков страховых взносов, налоговых агентов, их представителей либо полномочия налоговых органов, таможенных органов, установленные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24.07.2009 N 213-ФЗ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вводит обязанности, не предусмотренные настоящим Кодексом, или изменяет определенное настоящим Кодексом содержание обязанностей участников отношений, регулируемых законодательством о налогах и сборах, иных лиц, обязанности которых установлены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27.07.2006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запрещает действия налогоплательщиков, плательщиков сборов, плательщиков страховых взносов, налоговых агентов, их представителей, разрешенные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запрещает действия налоговых органов, таможенных органов, их должностных лиц, разрешенные или предписанные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24.07.2009 N 213-ФЗ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разрешает или допускает действия, запрещенные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7) изменяет установленные в соответствии с настоящим Кодексом основания, условия, последовательность или порядок действий участников отношений, регулируемых законодательством о налогах и сборах, иных лиц, обязанности которых установлены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01.04.2020 N 102-ФЗ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изменяет содержание понятий и терминов, определенных в настоящем Кодексе, либо использует эти понятия и термины в ином значении, чем они используются в настоящем Кодексе;</w:t>
      </w:r>
    </w:p>
    <w:p>
      <w:pPr>
        <w:spacing w:after="120"/>
        <w:ind w:firstLine="709"/>
      </w:pPr>
      <w:r>
        <w:rPr>
          <w:sz w:val="24"/>
        </w:rPr>
        <w:t xml:space="preserve">9) иным образом противоречит общим началам и (или) буквальному смыслу конкретных положений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Нормативные правовые акты, указанные в пункте 1 настоящей статьи, признаются не соответствующими настоящему Кодексу при наличии хотя бы одного из обстоятельств, предусмотренных пунктом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Признание нормативного правового акта не соответствующим настоящему Кодексу осуществляется в судебном порядке , если иное не предусмотрено настоящим Кодексом. Правительство Российской Федерации, а также иной орган исполнительной власти, исполнительный орган местного самоуправления или исполнительно-распорядительный орган федеральной территории "Сириус", принявшие указанный акт, либо их вышестоящие органы вправе до судебного рассмотрения отменить этот акт или внести в него необходимые изменения.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отношении нормативных правовых актов, регулирующих порядок взимания налогов, подлежащих уплате в связи с перемещением товаров через таможенную границу Таможенного союза в рамках ЕврАзЭС (далее в настоящем Кодексе - Таможенный союз), применяются положения, установленные таможенным законодательством Таможенного союза и законодательством Российской Федерации о таможенном деле.</w:t>
      </w:r>
    </w:p>
    <w:p>
      <w:pPr>
        <w:spacing w:after="120"/>
        <w:ind w:firstLine="709"/>
      </w:pPr>
      <w:r>
        <w:rPr>
          <w:sz w:val="24"/>
        </w:rPr>
        <w:t xml:space="preserve">(в ред. Таможенного кодекса РФ от 28.05.2003 N 61-ФЗ, Федеральных законов от 29.07.2004 N 95-ФЗ , от 27.11.2010 N 306-ФЗ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6</dc:title>
  <dc:creator>АРБИТРАЖ! · arbi.ru</dc:creator>
  <cp:lastModifiedBy>АРБИТРАЖ!</cp:lastModifiedBy>
  <dcterms:created xsi:type="dcterms:W3CDTF">2026-10-22T22:32:09.438Z</dcterms:created>
</cp:coreProperties>
</file>