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Участниками отношений, регулируемых законодательством о налогах и сборах, являются:</w:t>
      </w:r>
    </w:p>
    <w:p>
      <w:pPr>
        <w:spacing w:after="120"/>
        <w:ind w:firstLine="709"/>
      </w:pPr>
      <w:r>
        <w:rPr>
          <w:sz w:val="24"/>
        </w:rPr>
        <w:t xml:space="preserve">1) организации и физические лица, признаваемые в соответствии с настоящим Кодексом налогоплательщиками, плательщиками сборов, плательщиками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организации и физические лица, признаваемые в соответствии с настоящим Кодексом налоговыми агентами;</w:t>
      </w:r>
    </w:p>
    <w:p>
      <w:pPr>
        <w:spacing w:after="120"/>
        <w:ind w:firstLine="709"/>
      </w:pPr>
      <w:r>
        <w:rPr>
          <w:sz w:val="24"/>
        </w:rPr>
        <w:t xml:space="preserve">3) налоговые органы (федеральный орган исполнительной власти, уполномоченный по контролю и надзору в области налогов и сборов, и его территориальные органы);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таможенные органы (федеральный орган исполнительной власти, уполномоченный в области таможенного дела, подчиненные ему таможенные органы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29.07.2004 N 95-ФЗ , от 26.06.2008 N 103-ФЗ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 с 1 января 2007 года. - Федеральный закон от 27.07.2006 N 137-ФЗ;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утратил силу. - Федеральный закон от 29.06.2004 N 58-ФЗ;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утратил силу с 1 января 2007 года. - Федеральный закон от 27.07.2006 N 137-ФЗ;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утратил силу. - Федеральный закон от 30.06.2003 N 86-ФЗ.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</dc:title>
  <dc:creator>АРБИТРАЖ! · arbi.ru</dc:creator>
  <cp:lastModifiedBy>АРБИТРАЖ!</cp:lastModifiedBy>
  <dcterms:created xsi:type="dcterms:W3CDTF">2026-10-22T23:05:00.268Z</dcterms:created>
</cp:coreProperties>
</file>