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Система налогов и сборов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 считается установленным лишь в том случае, когда определены налогоплательщики и элементы налогообложения, а именно: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объект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налоговая база;</w:t>
      </w:r>
    </w:p>
    <w:p>
      <w:pPr>
        <w:spacing w:after="120"/>
        <w:ind w:firstLine="709"/>
      </w:pPr>
      <w:r>
        <w:rPr>
          <w:sz w:val="24"/>
        </w:rPr>
        <w:t xml:space="preserve">налоговый период (за исключением налогов разового характера);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налоговая ставка;</w:t>
      </w:r>
    </w:p>
    <w:p>
      <w:pPr>
        <w:spacing w:after="120"/>
        <w:ind w:firstLine="709"/>
      </w:pPr>
      <w:r>
        <w:rPr>
          <w:sz w:val="24"/>
        </w:rPr>
        <w:t xml:space="preserve">порядок исчисления налога;</w:t>
      </w:r>
    </w:p>
    <w:p>
      <w:pPr>
        <w:spacing w:after="120"/>
        <w:ind w:firstLine="709"/>
      </w:pPr>
      <w:r>
        <w:rPr>
          <w:sz w:val="24"/>
        </w:rPr>
        <w:t xml:space="preserve">порядок и сроки уплаты налога.</w:t>
      </w:r>
    </w:p>
    <w:p>
      <w:pPr>
        <w:spacing w:after="120"/>
        <w:ind w:firstLine="709"/>
      </w:pPr>
      <w:r>
        <w:rPr>
          <w:sz w:val="24"/>
        </w:rPr>
        <w:t xml:space="preserve">2. В необходимых случаях при установлении налога в акте законодательства о налогах и сборах могут также предусматриваться налоговые льготы и основания для их использования налогоплательщиком.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установлении сборов определяются их плательщики и элементы обложения применительно к конкретным сборам.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17</dc:title>
  <dc:creator>АРБИТРАЖ! · arbi.ru</dc:creator>
  <cp:lastModifiedBy>АРБИТРАЖ!</cp:lastModifiedBy>
  <dcterms:created xsi:type="dcterms:W3CDTF">2026-10-22T23:04:40.732Z</dcterms:created>
</cp:coreProperties>
</file>