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НК РФ, ст. 18.2</w:t>
      </w:r>
    </w:p>
    <w:p>
      <w:pPr>
        <w:spacing w:after="120"/>
        <w:ind w:firstLine="709"/>
      </w:pPr>
      <w:r>
        <w:rPr>
          <w:sz w:val="24"/>
        </w:rPr>
        <w:t xml:space="preserve">Акт: Налоговый кодекс Российской Федерации № 146-ФЗ (часть первая), 117-ФЗ (часть вторая)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https://www.consultant.ru/document/cons_doc_LAW_19671/</w:t>
      </w:r>
    </w:p>
    <w:p>
      <w:pPr>
        <w:spacing w:after="120"/>
        <w:ind w:firstLine="709"/>
      </w:pPr>
      <w:r>
        <w:rPr>
          <w:sz w:val="24"/>
        </w:rPr>
        <w:t xml:space="preserve">Раздел: Глава 2.1. Страховые взносы в Российской Федерации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(введена Федеральным законом от 03.07.2016 N 243-ФЗ)</w:t>
      </w:r>
    </w:p>
    <w:p>
      <w:pPr>
        <w:spacing w:after="120"/>
        <w:ind w:firstLine="709"/>
      </w:pPr>
      <w:r>
        <w:rPr>
          <w:sz w:val="24"/>
        </w:rPr>
        <w:t xml:space="preserve">1. При установлении страховых взносов определяются в соответствии с главой 34 настоящего Кодекса плательщики и следующие элементы обложения:</w:t>
      </w:r>
    </w:p>
    <w:p>
      <w:pPr>
        <w:spacing w:after="120"/>
        <w:ind w:firstLine="709"/>
      </w:pPr>
      <w:r>
        <w:rPr>
          <w:sz w:val="24"/>
        </w:rPr>
        <w:t xml:space="preserve">1) объект обложения страховыми взносами;</w:t>
      </w:r>
    </w:p>
    <w:p>
      <w:pPr>
        <w:spacing w:after="120"/>
        <w:ind w:firstLine="709"/>
      </w:pPr>
      <w:r>
        <w:rPr>
          <w:sz w:val="24"/>
        </w:rPr>
        <w:t xml:space="preserve">2) база для исчисления страховых взносов;</w:t>
      </w:r>
    </w:p>
    <w:p>
      <w:pPr>
        <w:spacing w:after="120"/>
        <w:ind w:firstLine="709"/>
      </w:pPr>
      <w:r>
        <w:rPr>
          <w:sz w:val="24"/>
        </w:rPr>
        <w:t xml:space="preserve">3) расчетный период;</w:t>
      </w:r>
    </w:p>
    <w:p>
      <w:pPr>
        <w:spacing w:after="120"/>
        <w:ind w:firstLine="709"/>
      </w:pPr>
      <w:r>
        <w:rPr>
          <w:sz w:val="24"/>
        </w:rPr>
        <w:t xml:space="preserve">4) тариф страховых взносов;</w:t>
      </w:r>
    </w:p>
    <w:p>
      <w:pPr>
        <w:spacing w:after="120"/>
        <w:ind w:firstLine="709"/>
      </w:pPr>
      <w:r>
        <w:rPr>
          <w:sz w:val="24"/>
        </w:rPr>
        <w:t xml:space="preserve">5) порядок исчисления страховых взносов;</w:t>
      </w:r>
    </w:p>
    <w:p>
      <w:pPr>
        <w:spacing w:after="120"/>
        <w:ind w:firstLine="709"/>
      </w:pPr>
      <w:r>
        <w:rPr>
          <w:sz w:val="24"/>
        </w:rPr>
        <w:t xml:space="preserve">6) порядок и сроки уплаты страховых взносов.</w:t>
      </w:r>
    </w:p>
    <w:p>
      <w:pPr>
        <w:spacing w:after="120"/>
        <w:ind w:firstLine="709"/>
      </w:pPr>
      <w:r>
        <w:rPr>
          <w:sz w:val="24"/>
        </w:rPr>
        <w:t xml:space="preserve">2. Элементы обложения страховыми взносами, указанные в подпунктах 1 и 2 пункта 1 настоящей статьи, могут определяться применительно к отдельным категориям плательщиков страховых взносов.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НК РФ, ст. 18.2</dc:title>
  <dc:creator>АРБИТРАЖ! · arbi.ru</dc:creator>
  <cp:lastModifiedBy>АРБИТРАЖ!</cp:lastModifiedBy>
  <dcterms:created xsi:type="dcterms:W3CDTF">2026-10-23T00:43:17.510Z</dcterms:created>
</cp:coreProperties>
</file>