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25.2</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3.1. Консолидированная группа налогоплательщиков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Российские организации, соответствующие условиям, предусмотренным настоящей статьей, вправе создать консолидированную группу налогоплательщиков.</w:t>
      </w:r>
    </w:p>
    <w:p>
      <w:pPr>
        <w:spacing w:after="120"/>
        <w:ind w:firstLine="709"/>
      </w:pPr>
      <w:r>
        <w:rPr>
          <w:sz w:val="24"/>
        </w:rPr>
        <w:t xml:space="preserve">Условия, которым должны соответствовать участники консолидированной группы налогоплательщиков, предусмотренные настоящей статьей, применяются в течение всего срока действия договора о создании указанной группы, если иное не предусмотрено настоящим Кодексом.</w:t>
      </w:r>
    </w:p>
    <w:p>
      <w:pPr>
        <w:spacing w:after="120"/>
        <w:ind w:firstLine="709"/>
      </w:pPr>
      <w:r>
        <w:rPr>
          <w:sz w:val="24"/>
        </w:rPr>
        <w:t xml:space="preserve">2. Консолидированная группа налогоплательщиков может быть создана организациями при условии, что одна организация непосредственно и (или) косвенно участвует в уставном (складочном) капитале других организаций и доля такого участия в каждой такой организации составляет не менее 90 процентов. Указанное условие должно соблюдаться в течение всего срока действия договора о создании консолидированной группы налогоплательщиков.</w:t>
      </w:r>
    </w:p>
    <w:p>
      <w:pPr>
        <w:spacing w:after="120"/>
        <w:ind w:firstLine="709"/>
      </w:pPr>
      <w:r>
        <w:rPr>
          <w:sz w:val="24"/>
        </w:rPr>
        <w:t xml:space="preserve">Доля участия одной организации в другой организации определяется в порядке , установленном настоящим Кодексом.</w:t>
      </w:r>
    </w:p>
    <w:p>
      <w:pPr>
        <w:spacing w:after="120"/>
        <w:ind w:firstLine="709"/>
      </w:pPr>
      <w:r>
        <w:rPr>
          <w:sz w:val="24"/>
        </w:rPr>
        <w:t xml:space="preserve">3. Организация - сторона договора о создании консолидированной группы налогоплательщиков должна соответствовать следующим условиям:</w:t>
      </w:r>
    </w:p>
    <w:p>
      <w:pPr>
        <w:spacing w:after="120"/>
        <w:ind w:firstLine="709"/>
      </w:pPr>
      <w:r>
        <w:rPr>
          <w:sz w:val="24"/>
        </w:rPr>
        <w:t xml:space="preserve">1) организация не находится в процессе реорганизации или ликвидации, если иное не предусмотрено настоящим Кодексом;</w:t>
      </w:r>
    </w:p>
    <w:p>
      <w:pPr>
        <w:spacing w:after="120"/>
        <w:ind w:firstLine="709"/>
      </w:pPr>
      <w:r>
        <w:rPr>
          <w:sz w:val="24"/>
        </w:rPr>
        <w:t xml:space="preserve">(в ред. Федерального закона от 28.11.2015 N 325-ФЗ)</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организации на дату регистрации договора о создании консолидированной группы налогоплательщиков либо на дату присоединения такой организации к существующей консолидированной группе налогоплательщиков не возбуждено производство по делу о несостоятельности (банкротстве);</w:t>
      </w:r>
    </w:p>
    <w:p>
      <w:pPr>
        <w:spacing w:after="120"/>
        <w:ind w:firstLine="709"/>
      </w:pPr>
      <w:r>
        <w:rPr>
          <w:sz w:val="24"/>
        </w:rPr>
        <w:t xml:space="preserve">(пп. 2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2.1) в отношении организации не введена ни одна из процедур банкротства (за исключением наблюдения), предусмотренных законодательством Российской Федерации о несостоятельности (банкротстве);</w:t>
      </w:r>
    </w:p>
    <w:p>
      <w:pPr>
        <w:spacing w:after="120"/>
        <w:ind w:firstLine="709"/>
      </w:pPr>
      <w:r>
        <w:rPr>
          <w:sz w:val="24"/>
        </w:rPr>
        <w:t xml:space="preserve">(пп. 2.1 введен Федеральным законом от 30.11.2016 N 401-ФЗ)</w:t>
      </w:r>
    </w:p>
    <w:p>
      <w:pPr>
        <w:spacing w:after="120"/>
        <w:ind w:firstLine="709"/>
      </w:pPr>
      <w:r>
        <w:rPr>
          <w:sz w:val="24"/>
        </w:rPr>
        <w:t xml:space="preserve">3) размер чистых активов организации, рассчитанный на основании бухгалтерской (финансовой) отчетности на последнюю отчетную дату, предшествующую дате представления в налоговый орган документов для регистрации договора о создании (изменении) консолидированной группы налогоплательщиков, превышает размер ее уставного (складочного) капитала. Если на момент представления в налоговый орган договора о создании (изменении) консолидированной группы налогоплательщиков срок составления бухгалтерской (финансовой) отчетности на последнюю отчетную дату еще не наступил, то определение размера чистых активов или уставного (складочного) капитала производится на основании бухгалтерской (финансовой) отчетности, составленной на предшествующую отчетную дату.</w:t>
      </w:r>
    </w:p>
    <w:p>
      <w:pPr>
        <w:spacing w:after="120"/>
        <w:ind w:firstLine="709"/>
      </w:pPr>
      <w:r>
        <w:rPr>
          <w:sz w:val="24"/>
        </w:rPr>
        <w:t xml:space="preserve">(в ред. Федеральных законов от 29.06.2012 N 97-ФЗ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4. Присоединение новой организации к существующей консолидированной группе налогоплательщиков возможно при условии, что присоединяемая организация соответствует условиям, предусмотренным пунктом 3 настоящей статьи, на дату своего присоединения.</w:t>
      </w:r>
    </w:p>
    <w:p>
      <w:pPr>
        <w:spacing w:after="120"/>
        <w:ind w:firstLine="709"/>
      </w:pPr>
      <w:r>
        <w:rPr>
          <w:sz w:val="24"/>
        </w:rPr>
        <w:t xml:space="preserve">5. Все в совокупности организации, являющиеся участниками консолидированной группы налогоплательщиков, должны соответствовать следующим условиям:</w:t>
      </w:r>
    </w:p>
    <w:p>
      <w:pPr>
        <w:spacing w:after="120"/>
        <w:ind w:firstLine="709"/>
      </w:pPr>
      <w:r>
        <w:rPr>
          <w:sz w:val="24"/>
        </w:rPr>
        <w:t xml:space="preserve">1) совокупная сумма налога на добавленную стоимость, акцизов, налога на прибыль организаций и налога на добычу полезных ископаемых, уплаченная в течение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без учета сумм налогов, уплаченных в связи с перемещением товаров через таможенную границу Таможенного союза, составляет не менее 10 миллиардов рублей;</w:t>
      </w:r>
    </w:p>
    <w:p>
      <w:pPr>
        <w:spacing w:after="120"/>
        <w:ind w:firstLine="709"/>
      </w:pPr>
      <w:r>
        <w:rPr>
          <w:sz w:val="24"/>
        </w:rPr>
        <w:t xml:space="preserve">2) суммарный объем выручки от продажи товаров, продукции, выполнения работ и оказания услуг, а также от прочих доходов по данным бухгалтерской (финансовой) отчетности за календарный год, предшествующий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100 миллиардов рублей;</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3) совокупная стоимость активов по данным бухгалтерской (финансовой) отчетности на 31 декабря календарного года, предшествующего году, в котором представляются в налоговый орган документы для регистрации договора о создании консолидированной группы налогоплательщиков, составляет не менее 300 миллиардов рублей.</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6. Участниками консолидированной группы налогоплательщиков не могут являться следующие организации:</w:t>
      </w:r>
    </w:p>
    <w:p>
      <w:pPr>
        <w:spacing w:after="120"/>
        <w:ind w:firstLine="709"/>
      </w:pPr>
      <w:r>
        <w:rPr>
          <w:sz w:val="24"/>
        </w:rPr>
        <w:t xml:space="preserve">1) организации, являющиеся резидентами особых экономических зон;</w:t>
      </w:r>
    </w:p>
    <w:p>
      <w:pPr>
        <w:spacing w:after="120"/>
        <w:ind w:firstLine="709"/>
      </w:pPr>
      <w:r>
        <w:rPr>
          <w:sz w:val="24"/>
        </w:rPr>
        <w:t xml:space="preserve">2) организации, применяющие специальные налоговые режимы ;</w:t>
      </w:r>
    </w:p>
    <w:p>
      <w:pPr>
        <w:spacing w:after="120"/>
        <w:ind w:firstLine="709"/>
      </w:pPr>
      <w:r>
        <w:rPr>
          <w:sz w:val="24"/>
        </w:rPr>
        <w:t xml:space="preserve">3) банки, за исключением случая, когда все другие организации, входящие в эту группу, являются банками;</w:t>
      </w:r>
    </w:p>
    <w:p>
      <w:pPr>
        <w:spacing w:after="120"/>
        <w:ind w:firstLine="709"/>
      </w:pPr>
      <w:r>
        <w:rPr>
          <w:sz w:val="24"/>
        </w:rPr>
        <w:t xml:space="preserve">4) страховые организации, за исключением случая, когда все другие организации, входящие в эту группу, являются страховыми организациями;</w:t>
      </w:r>
    </w:p>
    <w:p>
      <w:pPr>
        <w:spacing w:after="120"/>
        <w:ind w:firstLine="709"/>
      </w:pPr>
      <w:r>
        <w:rPr>
          <w:sz w:val="24"/>
        </w:rPr>
        <w:t xml:space="preserve">5) негосударственные пенсионные фонды, за исключением случая, когда все другие организации, входящие в эту группу, являются негосударственными пенсионными фондами;</w:t>
      </w:r>
    </w:p>
    <w:p>
      <w:pPr>
        <w:spacing w:after="120"/>
        <w:ind w:firstLine="709"/>
      </w:pPr>
      <w:r>
        <w:rPr>
          <w:sz w:val="24"/>
        </w:rPr>
        <w:t xml:space="preserve">6) профессиональные участники рынка ценных бумаг, не являющиеся банками, за исключением случая, когда все другие организации, входящие в эту группу, являются профессиональными участниками рынка ценных бумаг, не являющимися банками;</w:t>
      </w:r>
    </w:p>
    <w:p>
      <w:pPr>
        <w:spacing w:after="120"/>
        <w:ind w:firstLine="709"/>
      </w:pPr>
      <w:r>
        <w:rPr>
          <w:sz w:val="24"/>
        </w:rPr>
        <w:t xml:space="preserve">7) организации, являющиеся участниками иной консолидированной группы налогоплательщиков;</w:t>
      </w:r>
    </w:p>
    <w:p>
      <w:pPr>
        <w:spacing w:after="120"/>
        <w:ind w:firstLine="709"/>
      </w:pPr>
      <w:r>
        <w:rPr>
          <w:sz w:val="24"/>
        </w:rPr>
        <w:t xml:space="preserve">8) организации, не признаваемые налогоплательщиками налога на прибыль организаций, а также использующие право на освобождение от обязанностей налогоплательщика налога на прибыль организаций в соответствии с главой 25 настоящего Кодекса;</w:t>
      </w:r>
    </w:p>
    <w:p>
      <w:pPr>
        <w:spacing w:after="120"/>
        <w:ind w:firstLine="709"/>
      </w:pPr>
      <w:r>
        <w:rPr>
          <w:sz w:val="24"/>
        </w:rPr>
        <w:t xml:space="preserve">9) организации, осуществляющие образовательную и (или) медицинскую деятельность и применяющие налоговую ставку 0 процентов по налогу на прибыль организаций в соответствии с главой 25 настоящего Кодекса;</w:t>
      </w:r>
    </w:p>
    <w:p>
      <w:pPr>
        <w:spacing w:after="120"/>
        <w:ind w:firstLine="709"/>
      </w:pPr>
      <w:r>
        <w:rPr>
          <w:sz w:val="24"/>
        </w:rPr>
        <w:t xml:space="preserve">10) организации, являющиеся налогоплательщиками налога на игорный бизнес;</w:t>
      </w:r>
    </w:p>
    <w:p>
      <w:pPr>
        <w:spacing w:after="120"/>
        <w:ind w:firstLine="709"/>
      </w:pPr>
      <w:r>
        <w:rPr>
          <w:sz w:val="24"/>
        </w:rPr>
        <w:t xml:space="preserve">11) клиринговые организации ;</w:t>
      </w:r>
    </w:p>
    <w:p>
      <w:pPr>
        <w:spacing w:after="120"/>
        <w:ind w:firstLine="709"/>
      </w:pPr>
      <w:r>
        <w:rPr>
          <w:sz w:val="24"/>
        </w:rPr>
        <w:t xml:space="preserve">12) кредитные потребительские кооперативы ;</w:t>
      </w:r>
    </w:p>
    <w:p>
      <w:pPr>
        <w:spacing w:after="120"/>
        <w:ind w:firstLine="709"/>
      </w:pPr>
      <w:r>
        <w:rPr>
          <w:sz w:val="24"/>
        </w:rPr>
        <w:t xml:space="preserve">(пп. 12 введен Федеральным законом от 02.11.2013 N 301-ФЗ)</w:t>
      </w:r>
    </w:p>
    <w:p>
      <w:pPr>
        <w:spacing w:after="120"/>
        <w:ind w:firstLine="709"/>
      </w:pPr>
      <w:r>
        <w:rPr>
          <w:sz w:val="24"/>
        </w:rPr>
        <w:t xml:space="preserve">13) микрофинансовые организации ;</w:t>
      </w:r>
    </w:p>
    <w:p>
      <w:pPr>
        <w:spacing w:after="120"/>
        <w:ind w:firstLine="709"/>
      </w:pPr>
      <w:r>
        <w:rPr>
          <w:sz w:val="24"/>
        </w:rPr>
        <w:t xml:space="preserve">(пп. 13 введен Федеральным законом от 02.11.2013 N 301-ФЗ)</w:t>
      </w:r>
    </w:p>
    <w:p>
      <w:pPr>
        <w:spacing w:after="120"/>
        <w:ind w:firstLine="709"/>
      </w:pPr>
      <w:r>
        <w:rPr>
          <w:sz w:val="24"/>
        </w:rPr>
        <w:t xml:space="preserve">14) организации , являющиеся участниками свободной экономической зоны.</w:t>
      </w:r>
    </w:p>
    <w:p>
      <w:pPr>
        <w:spacing w:after="120"/>
        <w:ind w:firstLine="709"/>
      </w:pPr>
      <w:r>
        <w:rPr>
          <w:sz w:val="24"/>
        </w:rPr>
        <w:t xml:space="preserve">(пп. 14 введен Федеральным законом от 29.11.2014 N 379-ФЗ)</w:t>
      </w:r>
    </w:p>
    <w:p>
      <w:pPr>
        <w:spacing w:after="120"/>
        <w:ind w:firstLine="709"/>
      </w:pPr>
      <w:r>
        <w:rPr>
          <w:sz w:val="24"/>
        </w:rPr>
        <w:t xml:space="preserve">КонсультантПлюс: примечание.</w:t>
      </w:r>
    </w:p>
    <w:p>
      <w:pPr>
        <w:spacing w:after="120"/>
        <w:ind w:firstLine="709"/>
      </w:pPr>
      <w:r>
        <w:rPr>
          <w:sz w:val="24"/>
        </w:rPr>
        <w:t xml:space="preserve">П. 7 ст. 25.2 применяются к договорам о создании КГН, зарегистрированным начиная с 01.01.2018 (ФЗ от 28.11.2015 N 325-ФЗ ).</w:t>
      </w:r>
    </w:p>
    <w:p>
      <w:pPr>
        <w:spacing w:after="120"/>
        <w:ind w:firstLine="709"/>
      </w:pPr>
      <w:r>
        <w:rPr>
          <w:sz w:val="24"/>
        </w:rPr>
        <w:t xml:space="preserve">7. Консолидированная группа налогоплательщиков создается не менее чем на пять налоговых периодов по налогу на прибыль организаций.</w:t>
      </w:r>
    </w:p>
    <w:p>
      <w:pPr>
        <w:spacing w:after="120"/>
        <w:ind w:firstLine="709"/>
      </w:pPr>
      <w:r>
        <w:rPr>
          <w:sz w:val="24"/>
        </w:rPr>
        <w:t xml:space="preserve">(в ред. Федерального закона от 28.11.2015 N 325-ФЗ)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25.2</dc:title>
  <dc:creator>АРБИТРАЖ! · arbi.ru</dc:creator>
  <cp:lastModifiedBy>АРБИТРАЖ!</cp:lastModifiedBy>
  <dcterms:created xsi:type="dcterms:W3CDTF">2026-10-22T12:20:22.794Z</dcterms:created>
</cp:coreProperties>
</file>