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3.6. Особенности налогообложения при реализации соглашений о защите и поощрении капиталовложений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Налогоплательщиком - участником соглашения о защите и поощрении капиталовложений для целей настоящего Кодекса признается организация, заключившая в соответствии с Федеральным законом "О защите и поощрении капиталовложений в Российской Федерации" соглашение о защите и поощрении капиталовложений, сведения о заключении которого включены в предусмотренный статьей 5 указанного Федерального закона реестр соглашений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2. Организация приобретает статус налогоплательщика - участника соглашения о защите и поощрении капиталовложений со дня включения сведений о заключении указанного соглашения в реестр соглашений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3. Организация утрачивает статус налогоплательщика - участника соглашения о защите и поощрении капиталовложений:</w:t>
      </w:r>
    </w:p>
    <w:p>
      <w:pPr>
        <w:spacing w:after="120"/>
        <w:ind w:firstLine="709"/>
      </w:pPr>
      <w:r>
        <w:rPr>
          <w:sz w:val="24"/>
        </w:rPr>
        <w:t xml:space="preserve">1) с даты, с которой действие соглашения о защите и поощрении капиталовложений прекращается или считается прекратившимся, - в случае прекращения действия указанного соглашения согласно положениям Федерального закона "О защите и поощрении капиталовложений в Российской Федерации", если иное не установлено подпунктом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2) с даты получения статуса налогоплательщика - участника соглашения о защите и поощрении капиталовложений - в случае, если указанное соглашение расторгается по основаниям, предусмотренным частями 13 и 14 статьи 11 Федерального закона "О защите и поощрении капиталовложений в Российской Федерации", или признается недействительным в соответствии с гражданским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4. В случае утраты организацией статуса налогоплательщика - участника соглашения о защите и поощрении капиталовложений по основанию, предусмотренному подпунктом 2 пункта 3 настоящей статьи, суммы налогов (авансовых платежей по налогам), не уплаченные организацией в связи с применением положений пункта 4.3 статьи 5 настоящего Кодекса, а также в связи с применением такой организацией налоговых вычетов в порядке, установленном статьей 25.18 настоящего Кодекса, подлежат восстановлению и уплате в бюджет в установленном порядке с взысканием с налогоплательщика соответствующих пеней.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25.17</dc:title>
  <dc:creator>АРБИТРАЖ! · arbi.ru</dc:creator>
  <cp:lastModifiedBy>АРБИТРАЖ!</cp:lastModifiedBy>
  <dcterms:created xsi:type="dcterms:W3CDTF">2026-10-22T20:19:06.905Z</dcterms:created>
</cp:coreProperties>
</file>