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4. Представительство в отношениях, регулируемых законодательством о налогах и сборах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Налогоплательщик может участвовать в отношениях, регулируемых законодательством о налогах и сборах через законного или уполномоченного представителя,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Личное участие налогоплательщика в отношениях, регулируемых законодательством о налогах и сборах, не лишает его права иметь представителя, равно как участие представителя не лишает налогоплательщика права на личное участие в указанных правоотношениях.</w:t>
      </w:r>
    </w:p>
    <w:p>
      <w:pPr>
        <w:spacing w:after="120"/>
        <w:ind w:firstLine="709"/>
      </w:pPr>
      <w:r>
        <w:rPr>
          <w:sz w:val="24"/>
        </w:rPr>
        <w:t xml:space="preserve">3. Полномочия представителя должны быть документально подтверждены в соответствии с настоящим Кодексом и иными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4. Правила, предусмотренные настоящей главой , распространяются на плательщиков сборов, плательщиков страховых взносов и налоговых агентов.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26</dc:title>
  <dc:creator>АРБИТРАЖ! · arbi.ru</dc:creator>
  <cp:lastModifiedBy>АРБИТРАЖ!</cp:lastModifiedBy>
  <dcterms:created xsi:type="dcterms:W3CDTF">2026-10-22T19:05:54.606Z</dcterms:created>
</cp:coreProperties>
</file>