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38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7. Объекты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Объект налогообложения - реализация товаров (работ, услуг), имущество, прибыль, доход, расход или иное обстоятельство, имеющее стоимостную, количественную или физическую характеристику, с наличием которого законодательство о налогах и сборах связывает возникновение у налогоплательщика обязанности по уплате налога.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Каждый налог имеет самостоятельный объект налогообложения, определяемый в соответствии с частью второй настоящего Кодекса и с учетом положений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января 2026 года. - Федеральный закон от 28.11.2025 N 425-ФЗ.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Товаром для целей настоящего Кодекса признается любое имущество, реализуемое либо предназначенное для реализации. В целях регулирования отношений, связанных с взиманием таможенных платежей, к товарам относится и иное имущество, определяемое в соответствии с таможенным законодательством Таможенного союза и законодательством Российской Федерации о таможенном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Работой для целей налогообложения признается деятельность, результаты которой имеют материальное выражение и могут быть реализованы для удовлетворения потребностей организации и (или) физических лиц.</w:t>
      </w:r>
    </w:p>
    <w:p>
      <w:pPr>
        <w:spacing w:after="120"/>
        <w:ind w:firstLine="709"/>
      </w:pPr>
      <w:r>
        <w:rPr>
          <w:sz w:val="24"/>
        </w:rPr>
        <w:t xml:space="preserve">5. Услугой для целей налогообложения признается деятельность, результаты которой не имеют материального выражения, реализуются и потребляются в процессе осуществления этой деятельности.</w:t>
      </w:r>
    </w:p>
    <w:p>
      <w:pPr>
        <w:spacing w:after="120"/>
        <w:ind w:firstLine="709"/>
      </w:pPr>
      <w:r>
        <w:rPr>
          <w:sz w:val="24"/>
        </w:rPr>
        <w:t xml:space="preserve">6. Идентичными товарами (работами, услугами) в целях настоящего Кодекса признаются товары (работы, услуги), имеющие одинаковые характерные для них основные признаки. При определении идентичности товаров незначительные различия во внешнем виде таких товаров могут не учитываться.</w:t>
      </w:r>
    </w:p>
    <w:p>
      <w:pPr>
        <w:spacing w:after="120"/>
        <w:ind w:firstLine="709"/>
      </w:pPr>
      <w:r>
        <w:rPr>
          <w:sz w:val="24"/>
        </w:rPr>
        <w:t xml:space="preserve">При определении идентичности товаров учитываются их физические характеристики, качество, функциональное назначение, страна происхождения и производитель, его деловая репутация на рынке и используемый товарный знак.</w:t>
      </w:r>
    </w:p>
    <w:p>
      <w:pPr>
        <w:spacing w:after="120"/>
        <w:ind w:firstLine="709"/>
      </w:pPr>
      <w:r>
        <w:rPr>
          <w:sz w:val="24"/>
        </w:rPr>
        <w:t xml:space="preserve">При определении идентичности работ (услуг) учитываются характеристики подрядчика (исполнителя), его деловая репутация на рынке и используемый товарный знак.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18.07.2011 N 227-ФЗ)</w:t>
      </w:r>
    </w:p>
    <w:p>
      <w:pPr>
        <w:spacing w:after="120"/>
        <w:ind w:firstLine="709"/>
      </w:pPr>
      <w:r>
        <w:rPr>
          <w:sz w:val="24"/>
        </w:rPr>
        <w:t xml:space="preserve">7. Однородными товарами в целях настоящего Кодекса признаются товары, которые, не являясь идентичными, имеют сходные характеристики и состоят из схожих компонентов, что позволяет им выполнять одни и те же функции и (или) быть коммерчески взаимозаменяемыми. При определении однородности товаров учитываются их качество, репутация на рынке, товарный знак, страна происхождения.</w:t>
      </w:r>
    </w:p>
    <w:p>
      <w:pPr>
        <w:spacing w:after="120"/>
        <w:ind w:firstLine="709"/>
      </w:pPr>
      <w:r>
        <w:rPr>
          <w:sz w:val="24"/>
        </w:rPr>
        <w:t xml:space="preserve">Однородными работами (услугами) признаются работы (услуги), которые, не являясь идентичными, имеют сходные характеристики, что позволяет им быть коммерчески и (или) функционально взаимозаменяемыми. При определении однородности работ (услуг) учитываются их качество, товарный знак, репутация на рынке, а также вид работ (услуг), их объем, уникальность и коммерческая взаимозаменяемость.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18.07.2011 N 227-ФЗ)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38</dc:title>
  <dc:creator>АРБИТРАЖ! · arbi.ru</dc:creator>
  <cp:lastModifiedBy>АРБИТРАЖ!</cp:lastModifiedBy>
  <dcterms:created xsi:type="dcterms:W3CDTF">2026-10-22T20:08:29.013Z</dcterms:created>
</cp:coreProperties>
</file>