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41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7. Объекты налогообложения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41 НК РФ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доначислил налог на прибыль в связи с прощением долга по займу, безвозмездным пользованием имуществом налогоплательщиком (не унитарным предприятием)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 ст. 41 признан частично не соответствующим Конституции РФ ( Постановление КС РФ от 21.01.2025 N 2-П). О правовом регулировании до внесения изменений см. п. 2 Постановления.</w:t>
      </w:r>
    </w:p>
    <w:p>
      <w:pPr>
        <w:spacing w:after="120"/>
        <w:ind w:firstLine="709"/>
      </w:pPr>
      <w:r>
        <w:rPr>
          <w:sz w:val="24"/>
        </w:rPr>
        <w:t xml:space="preserve">1 . В соответствии с настоящим Кодексом доходом признается экономическая выгода в денежной или натуральной форме, учитываемая в случае возможности ее оценки и в той мере, в которой такую выгоду можно оценить, и определяемая в соответствии с главами "Налог на доходы физических лиц" , "Налог на прибыль организаций"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05.08.2000 N 118-ФЗ (ред. 24.03.2001), от 27.07.2006 N 137-ФЗ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41 (в ред. ФЗ от 04.08.2026 N 292-ФЗ) распространяется на правоотношения, возникшие с 24.06.2024.</w:t>
      </w:r>
    </w:p>
    <w:p>
      <w:pPr>
        <w:spacing w:after="120"/>
        <w:ind w:firstLine="709"/>
      </w:pPr>
      <w:r>
        <w:rPr>
          <w:sz w:val="24"/>
        </w:rPr>
        <w:t xml:space="preserve">2. В целях настоящего Кодекса не признаются доходом (экономической выгодой):</w:t>
      </w:r>
    </w:p>
    <w:p>
      <w:pPr>
        <w:spacing w:after="120"/>
        <w:ind w:firstLine="709"/>
      </w:pPr>
      <w:r>
        <w:rPr>
          <w:sz w:val="24"/>
        </w:rPr>
        <w:t xml:space="preserve">1) получение имущества его фактическим владельцем от номинального владельца, если такое имущество и его номинальный владелец указаны в специальной декларации, представленной в соответствии с Федеральным законом от 8 июня 2015 года N 140-ФЗ "О добровольном декларировании физическими лицами активов и счетов (вкладов) в банках и о внесении изменений в отдельные законодательные акты Российской Федерации";</w:t>
      </w:r>
    </w:p>
    <w:p>
      <w:pPr>
        <w:spacing w:after="120"/>
        <w:ind w:firstLine="709"/>
      </w:pPr>
      <w:r>
        <w:rPr>
          <w:sz w:val="24"/>
        </w:rPr>
        <w:t xml:space="preserve">2) получение доверенным лицом от принципала (иного лица при условии, что право на акции (доли в уставном капитале) имеет принципал) акций (долей в уставном капитале) экономически значимых организаций , которые принадлежат принципалу или право на которые имеет принципал, и получение принципалом от доверенного лица таких акций (долей в уставном капитале) экономически значимых организаций, ранее переданных этому доверенному лицу, если указанные получение доверенным лицом и получение принципалом акций (долей в уставном капитале) экономически значимых организаций осуществляются в соответствии с договорами, предусмотренными нормативными правовыми актами Президента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04.08.2026 N 292-ФЗ)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41</dc:title>
  <dc:creator>АРБИТРАЖ! · arbi.ru</dc:creator>
  <cp:lastModifiedBy>АРБИТРАЖ!</cp:lastModifiedBy>
  <dcterms:created xsi:type="dcterms:W3CDTF">2026-10-22T18:48:07.075Z</dcterms:created>
</cp:coreProperties>
</file>