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7. Объекты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Дивидендом признается любой доход, полученный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дивидендам также относятся любые доходы, получаемые из источников за пределами Российской Федерации, относящиеся к дивидендам в соответствии с законодательствами иностранных государств.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09.07.1999 N 154-ФЗ)</w:t>
      </w:r>
    </w:p>
    <w:p>
      <w:pPr>
        <w:spacing w:after="120"/>
        <w:ind w:firstLine="709"/>
      </w:pPr>
      <w:r>
        <w:rPr>
          <w:sz w:val="24"/>
        </w:rPr>
        <w:t xml:space="preserve">2. Не признаются дивидендами:</w:t>
      </w:r>
    </w:p>
    <w:p>
      <w:pPr>
        <w:spacing w:after="120"/>
        <w:ind w:firstLine="709"/>
      </w:pPr>
      <w:r>
        <w:rPr>
          <w:sz w:val="24"/>
        </w:rPr>
        <w:t xml:space="preserve">1) выплаты при ликвидации организации акционеру (участнику) этой организации в денежной или натуральной форме, не превышающие взноса этого акционера (участника) в уставный (складочный) капитал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выплаты акционерам (участникам) организации в виде передачи акций этой же организации в собственность;</w:t>
      </w:r>
    </w:p>
    <w:p>
      <w:pPr>
        <w:spacing w:after="120"/>
        <w:ind w:firstLine="709"/>
      </w:pPr>
      <w:r>
        <w:rPr>
          <w:sz w:val="24"/>
        </w:rPr>
        <w:t xml:space="preserve">3) выплаты некоммерческой организации на осуществление ее основной уставной деятельности (не связанной с предпринимательской деятельностью), произведенные хозяйственными обществами, уставный капитал которых состоит полностью из вкладов этой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09.07.1999 N 154-ФЗ)</w:t>
      </w:r>
    </w:p>
    <w:p>
      <w:pPr>
        <w:spacing w:after="120"/>
        <w:ind w:firstLine="709"/>
      </w:pPr>
      <w:r>
        <w:rPr>
          <w:sz w:val="24"/>
        </w:rPr>
        <w:t xml:space="preserve">3. Процентами признается любой заранее заявленный (установленный) доход, в том числе в виде дисконта, полученный по долговому обязательству любого вида (независимо от способа его оформления). При этом процентами признаются, в частности, доходы, полученные по денежным вкладам и долговым обязательствам.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43</dc:title>
  <dc:creator>АРБИТРАЖ! · arbi.ru</dc:creator>
  <cp:lastModifiedBy>АРБИТРАЖ!</cp:lastModifiedBy>
  <dcterms:created xsi:type="dcterms:W3CDTF">2026-10-22T22:47:25.791Z</dcterms:created>
</cp:coreProperties>
</file>